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5AC5FB4" w14:textId="77777777" w:rsidR="001136C7" w:rsidRDefault="001136C7" w:rsidP="001136C7">
      <w:pPr>
        <w:jc w:val="center"/>
        <w:rPr>
          <w:rFonts w:ascii="Garamond" w:hAnsi="Garamond"/>
          <w:b/>
          <w:sz w:val="28"/>
        </w:rPr>
      </w:pPr>
      <w:r>
        <w:rPr>
          <w:rFonts w:ascii="Garamond" w:hAnsi="Garamond"/>
          <w:b/>
          <w:sz w:val="28"/>
        </w:rPr>
        <w:t xml:space="preserve">WEEK 1 </w:t>
      </w:r>
    </w:p>
    <w:p w14:paraId="40E02F0B" w14:textId="77777777" w:rsidR="001136C7" w:rsidRPr="008147D8" w:rsidRDefault="001136C7" w:rsidP="001136C7">
      <w:pPr>
        <w:jc w:val="center"/>
        <w:rPr>
          <w:rFonts w:ascii="Garamond" w:hAnsi="Garamond"/>
          <w:b/>
          <w:sz w:val="28"/>
        </w:rPr>
      </w:pPr>
      <w:r>
        <w:rPr>
          <w:rFonts w:ascii="Garamond" w:hAnsi="Garamond"/>
          <w:b/>
          <w:sz w:val="28"/>
        </w:rPr>
        <w:t>what is a “drug”? I: introductions</w:t>
      </w:r>
    </w:p>
    <w:p w14:paraId="73798ABD" w14:textId="77777777" w:rsidR="001136C7" w:rsidRDefault="001136C7" w:rsidP="001136C7">
      <w:pPr>
        <w:rPr>
          <w:rFonts w:ascii="Garamond" w:hAnsi="Garamond"/>
        </w:rPr>
      </w:pPr>
    </w:p>
    <w:p w14:paraId="18CC7B62" w14:textId="77777777" w:rsidR="001136C7" w:rsidRDefault="001136C7" w:rsidP="001136C7">
      <w:pPr>
        <w:rPr>
          <w:rFonts w:ascii="Garamond" w:hAnsi="Garamond"/>
        </w:rPr>
      </w:pPr>
      <w:r>
        <w:rPr>
          <w:rFonts w:ascii="Garamond" w:hAnsi="Garamond"/>
        </w:rPr>
        <w:t xml:space="preserve">Welcome to the first week of classes! Throughout the term, we’ll be talking and thinking and reading about how a history of drugs is a history metamorphoses, of efforts (some successful, some not) to transform the bodies and minds – the flesh and the language – of ourselves and others, of creatures and substances, of experiences of space and time and all that they contain. Understanding this history is a way of understanding how it has been, and how it could be, possible to exist as a social/cultural/political/material being in the world. To exist is to be in flux. To be is to be constantly becoming. We’ll talk about what that means over the course of our semester together. </w:t>
      </w:r>
    </w:p>
    <w:p w14:paraId="77A628DA" w14:textId="77777777" w:rsidR="001136C7" w:rsidRDefault="001136C7" w:rsidP="001136C7">
      <w:pPr>
        <w:ind w:firstLine="720"/>
        <w:rPr>
          <w:rFonts w:ascii="Garamond" w:hAnsi="Garamond"/>
        </w:rPr>
      </w:pPr>
      <w:r>
        <w:rPr>
          <w:rFonts w:ascii="Garamond" w:hAnsi="Garamond"/>
        </w:rPr>
        <w:t xml:space="preserve">An important part of all of this involves thinking about how even the basic category of “drug,” and the substances we tend to think of as (medicinal, recreational, </w:t>
      </w:r>
      <w:proofErr w:type="gramStart"/>
      <w:r>
        <w:rPr>
          <w:rFonts w:ascii="Garamond" w:hAnsi="Garamond"/>
        </w:rPr>
        <w:t>licit</w:t>
      </w:r>
      <w:proofErr w:type="gramEnd"/>
      <w:r>
        <w:rPr>
          <w:rFonts w:ascii="Garamond" w:hAnsi="Garamond"/>
        </w:rPr>
        <w:t xml:space="preserve"> or illicit, dangerous or curative) drugs, have changed profoundly over time. Thus, this week we’ll start by asking a question that we’ll return to over the course of the semester: what is a drug, and why does that matter? </w:t>
      </w:r>
    </w:p>
    <w:p w14:paraId="3C7A339F" w14:textId="77777777" w:rsidR="001136C7" w:rsidRDefault="001136C7" w:rsidP="001136C7">
      <w:pPr>
        <w:ind w:firstLine="720"/>
        <w:rPr>
          <w:rFonts w:ascii="Garamond" w:hAnsi="Garamond"/>
        </w:rPr>
      </w:pPr>
      <w:r>
        <w:rPr>
          <w:rFonts w:ascii="Garamond" w:hAnsi="Garamond"/>
        </w:rPr>
        <w:t>This first weekly guide is quite a bit longer than what you should expect in future weeks: I’m doing this to help guide you and help get you settled.  – Carla (Nappi, your professor)</w:t>
      </w:r>
    </w:p>
    <w:p w14:paraId="371B417D" w14:textId="77777777" w:rsidR="001136C7" w:rsidRDefault="001136C7" w:rsidP="001136C7">
      <w:pPr>
        <w:rPr>
          <w:rFonts w:ascii="Garamond" w:hAnsi="Garamond"/>
        </w:rPr>
      </w:pPr>
    </w:p>
    <w:p w14:paraId="2BAC3360" w14:textId="77777777" w:rsidR="001136C7" w:rsidRPr="00D45F44" w:rsidRDefault="001136C7" w:rsidP="001136C7">
      <w:pPr>
        <w:rPr>
          <w:rFonts w:ascii="Garamond" w:hAnsi="Garamond"/>
          <w:smallCaps/>
          <w:u w:val="single"/>
        </w:rPr>
      </w:pPr>
      <w:r w:rsidRPr="008147D8">
        <w:rPr>
          <w:rFonts w:ascii="Garamond" w:hAnsi="Garamond"/>
          <w:smallCaps/>
          <w:u w:val="single"/>
        </w:rPr>
        <w:t>The Reading</w:t>
      </w:r>
    </w:p>
    <w:p w14:paraId="083BB0FC" w14:textId="3BDD2234" w:rsidR="001136C7" w:rsidRDefault="001136C7" w:rsidP="001136C7">
      <w:pPr>
        <w:rPr>
          <w:rFonts w:ascii="Garamond" w:hAnsi="Garamond"/>
        </w:rPr>
      </w:pPr>
      <w:r>
        <w:rPr>
          <w:rFonts w:ascii="Garamond" w:hAnsi="Garamond"/>
        </w:rPr>
        <w:t xml:space="preserve">This is a history course, even though it’s a deliciously strange one. For the first two weeks of class, we’re going to start in with some straight-up history, and then things will start getting increasingly weird. </w:t>
      </w:r>
      <w:r w:rsidR="004943DC">
        <w:rPr>
          <w:rFonts w:ascii="Garamond" w:hAnsi="Garamond"/>
        </w:rPr>
        <w:t xml:space="preserve">(I mean </w:t>
      </w:r>
      <w:proofErr w:type="gramStart"/>
      <w:r w:rsidR="004943DC">
        <w:rPr>
          <w:rFonts w:ascii="Garamond" w:hAnsi="Garamond"/>
        </w:rPr>
        <w:t>really quite</w:t>
      </w:r>
      <w:proofErr w:type="gramEnd"/>
      <w:r w:rsidR="004943DC">
        <w:rPr>
          <w:rFonts w:ascii="Garamond" w:hAnsi="Garamond"/>
        </w:rPr>
        <w:t xml:space="preserve"> weird: if this history article stuff isn’t your jam, just hang in there because we’ll be in other kinds of sources very soon.) </w:t>
      </w:r>
      <w:proofErr w:type="spellStart"/>
      <w:r>
        <w:rPr>
          <w:rFonts w:ascii="Garamond" w:hAnsi="Garamond"/>
        </w:rPr>
        <w:t>For</w:t>
      </w:r>
      <w:proofErr w:type="spellEnd"/>
      <w:r>
        <w:rPr>
          <w:rFonts w:ascii="Garamond" w:hAnsi="Garamond"/>
        </w:rPr>
        <w:t xml:space="preserve"> this first week, you’ll read (and we’ll start to talk about) an essay from one of the major historical journals in the US, because you should have some experience reading that kind of text. As a supplementary and completely optional resource, I’ve also provided links to some of the sources the author of the essay used to support her argument. </w:t>
      </w:r>
    </w:p>
    <w:p w14:paraId="7501757B" w14:textId="77777777" w:rsidR="001136C7" w:rsidRDefault="001136C7" w:rsidP="001136C7">
      <w:pPr>
        <w:rPr>
          <w:rFonts w:ascii="Garamond" w:hAnsi="Garamond"/>
        </w:rPr>
      </w:pPr>
    </w:p>
    <w:p w14:paraId="5404E9E4" w14:textId="197574E3" w:rsidR="001136C7" w:rsidRDefault="001136C7" w:rsidP="001136C7">
      <w:pPr>
        <w:rPr>
          <w:rFonts w:ascii="Garamond" w:hAnsi="Garamond"/>
        </w:rPr>
      </w:pPr>
      <w:r>
        <w:rPr>
          <w:rFonts w:ascii="Garamond" w:hAnsi="Garamond"/>
        </w:rPr>
        <w:t xml:space="preserve">For lecture on </w:t>
      </w:r>
      <w:r w:rsidR="004631E6">
        <w:rPr>
          <w:rFonts w:ascii="Garamond" w:hAnsi="Garamond"/>
        </w:rPr>
        <w:t>Thursday Sept 02</w:t>
      </w:r>
      <w:r>
        <w:rPr>
          <w:rFonts w:ascii="Garamond" w:hAnsi="Garamond"/>
        </w:rPr>
        <w:t xml:space="preserve"> and for </w:t>
      </w:r>
      <w:r w:rsidR="004631E6">
        <w:rPr>
          <w:rFonts w:ascii="Garamond" w:hAnsi="Garamond"/>
        </w:rPr>
        <w:t>recitation discussions</w:t>
      </w:r>
      <w:r>
        <w:rPr>
          <w:rFonts w:ascii="Garamond" w:hAnsi="Garamond"/>
        </w:rPr>
        <w:t xml:space="preserve"> that will start on Thursday </w:t>
      </w:r>
      <w:r w:rsidR="004631E6">
        <w:rPr>
          <w:rFonts w:ascii="Garamond" w:hAnsi="Garamond"/>
        </w:rPr>
        <w:t>Sept 02</w:t>
      </w:r>
      <w:r>
        <w:rPr>
          <w:rFonts w:ascii="Garamond" w:hAnsi="Garamond"/>
        </w:rPr>
        <w:t>, please try your hand at reading:</w:t>
      </w:r>
      <w:r w:rsidRPr="00BB7492">
        <w:rPr>
          <w:rFonts w:ascii="Garamond" w:hAnsi="Garamond"/>
        </w:rPr>
        <w:tab/>
      </w:r>
    </w:p>
    <w:p w14:paraId="5B8DB38E" w14:textId="47F33CA6" w:rsidR="001136C7" w:rsidRDefault="001136C7" w:rsidP="004631E6">
      <w:pPr>
        <w:pStyle w:val="ListParagraph"/>
        <w:numPr>
          <w:ilvl w:val="0"/>
          <w:numId w:val="1"/>
        </w:numPr>
        <w:rPr>
          <w:rFonts w:ascii="Garamond" w:hAnsi="Garamond"/>
        </w:rPr>
      </w:pPr>
      <w:r w:rsidRPr="004D3BC2">
        <w:rPr>
          <w:rFonts w:ascii="Garamond" w:hAnsi="Garamond"/>
          <w:b/>
        </w:rPr>
        <w:t xml:space="preserve">Marcy Norton, “Tasting Empire: Chocolate and the European Internalization of Mesoamerican Aesthetics” </w:t>
      </w:r>
      <w:r w:rsidRPr="004D3BC2">
        <w:rPr>
          <w:rFonts w:ascii="Garamond" w:hAnsi="Garamond"/>
          <w:b/>
          <w:i/>
        </w:rPr>
        <w:t xml:space="preserve">American Historical Review </w:t>
      </w:r>
      <w:r w:rsidRPr="004D3BC2">
        <w:rPr>
          <w:rFonts w:ascii="Garamond" w:hAnsi="Garamond"/>
          <w:b/>
        </w:rPr>
        <w:t>111.3 (June 2006), 660-691.</w:t>
      </w:r>
      <w:r>
        <w:rPr>
          <w:rFonts w:ascii="Garamond" w:hAnsi="Garamond"/>
          <w:b/>
        </w:rPr>
        <w:t xml:space="preserve"> </w:t>
      </w:r>
      <w:r w:rsidRPr="00AB675B">
        <w:rPr>
          <w:rFonts w:ascii="Garamond" w:hAnsi="Garamond"/>
        </w:rPr>
        <w:t>[</w:t>
      </w:r>
      <w:r w:rsidRPr="004631E6">
        <w:rPr>
          <w:rFonts w:ascii="Garamond" w:hAnsi="Garamond"/>
        </w:rPr>
        <w:t xml:space="preserve">available for download on </w:t>
      </w:r>
      <w:r>
        <w:rPr>
          <w:rFonts w:ascii="Garamond" w:hAnsi="Garamond"/>
        </w:rPr>
        <w:t>Canvas</w:t>
      </w:r>
      <w:r w:rsidR="004631E6">
        <w:rPr>
          <w:rFonts w:ascii="Garamond" w:hAnsi="Garamond"/>
        </w:rPr>
        <w:t xml:space="preserve"> in </w:t>
      </w:r>
      <w:hyperlink r:id="rId7" w:history="1">
        <w:r w:rsidR="004631E6" w:rsidRPr="004631E6">
          <w:rPr>
            <w:rStyle w:val="Hyperlink"/>
            <w:rFonts w:ascii="Garamond" w:hAnsi="Garamond"/>
          </w:rPr>
          <w:t>F</w:t>
        </w:r>
        <w:r w:rsidR="004631E6" w:rsidRPr="004631E6">
          <w:rPr>
            <w:rStyle w:val="Hyperlink"/>
            <w:rFonts w:ascii="Garamond" w:hAnsi="Garamond"/>
          </w:rPr>
          <w:t>iles</w:t>
        </w:r>
      </w:hyperlink>
      <w:r w:rsidR="004631E6">
        <w:rPr>
          <w:rFonts w:ascii="Garamond" w:hAnsi="Garamond"/>
        </w:rPr>
        <w:t xml:space="preserve"> </w:t>
      </w:r>
      <w:r w:rsidR="004631E6" w:rsidRPr="004631E6">
        <w:rPr>
          <w:rFonts w:ascii="Garamond" w:hAnsi="Garamond"/>
        </w:rPr>
        <w:sym w:font="Wingdings" w:char="F0E0"/>
      </w:r>
      <w:r w:rsidR="004631E6">
        <w:rPr>
          <w:rFonts w:ascii="Garamond" w:hAnsi="Garamond"/>
        </w:rPr>
        <w:t xml:space="preserve"> </w:t>
      </w:r>
      <w:r w:rsidR="004631E6" w:rsidRPr="004631E6">
        <w:rPr>
          <w:rFonts w:ascii="Garamond" w:hAnsi="Garamond"/>
        </w:rPr>
        <w:fldChar w:fldCharType="begin"/>
      </w:r>
      <w:r w:rsidR="004631E6" w:rsidRPr="004631E6">
        <w:rPr>
          <w:rFonts w:ascii="Garamond" w:hAnsi="Garamond"/>
        </w:rPr>
        <w:instrText xml:space="preserve"> HYPERLINK "https://canvas.pitt.edu/courses/111980/files/folder/Week%201%20Materials%20(Aug%2031-Sept%2002)" </w:instrText>
      </w:r>
      <w:r w:rsidR="004631E6" w:rsidRPr="004631E6">
        <w:rPr>
          <w:rFonts w:ascii="Garamond" w:hAnsi="Garamond"/>
        </w:rPr>
        <w:fldChar w:fldCharType="separate"/>
      </w:r>
      <w:r w:rsidR="004631E6" w:rsidRPr="004631E6">
        <w:rPr>
          <w:rStyle w:val="Hyperlink"/>
          <w:rFonts w:ascii="Garamond" w:hAnsi="Garamond"/>
        </w:rPr>
        <w:t>Week 1 Materials (Aug 31-Sept 02)</w:t>
      </w:r>
      <w:r w:rsidR="004631E6" w:rsidRPr="004631E6">
        <w:rPr>
          <w:rFonts w:ascii="Garamond" w:hAnsi="Garamond"/>
        </w:rPr>
        <w:fldChar w:fldCharType="end"/>
      </w:r>
      <w:r w:rsidR="00261159">
        <w:rPr>
          <w:rFonts w:ascii="Garamond" w:hAnsi="Garamond"/>
        </w:rPr>
        <w:t>]</w:t>
      </w:r>
    </w:p>
    <w:p w14:paraId="01A82050" w14:textId="77777777" w:rsidR="004631E6" w:rsidRPr="004631E6" w:rsidRDefault="004631E6" w:rsidP="004631E6">
      <w:pPr>
        <w:pStyle w:val="ListParagraph"/>
        <w:ind w:left="360"/>
        <w:rPr>
          <w:rFonts w:ascii="Garamond" w:hAnsi="Garamond"/>
        </w:rPr>
      </w:pPr>
    </w:p>
    <w:p w14:paraId="662E45B8" w14:textId="77777777" w:rsidR="001136C7" w:rsidRDefault="001136C7" w:rsidP="001136C7">
      <w:pPr>
        <w:pStyle w:val="ListParagraph"/>
        <w:ind w:left="360"/>
        <w:rPr>
          <w:rFonts w:ascii="Garamond" w:hAnsi="Garamond"/>
        </w:rPr>
      </w:pPr>
      <w:r>
        <w:rPr>
          <w:rFonts w:ascii="Garamond" w:hAnsi="Garamond"/>
        </w:rPr>
        <w:t>This is a seminal article by one of the leading experts on the history of commodity trade (esp. chocolate, coffee, and tobacco) in the early modern</w:t>
      </w:r>
      <w:r>
        <w:rPr>
          <w:rStyle w:val="FootnoteReference"/>
          <w:rFonts w:ascii="Garamond" w:hAnsi="Garamond"/>
        </w:rPr>
        <w:footnoteReference w:id="1"/>
      </w:r>
      <w:r>
        <w:rPr>
          <w:rFonts w:ascii="Garamond" w:hAnsi="Garamond"/>
        </w:rPr>
        <w:t xml:space="preserve"> Atlantic World. In addition to teaching us about the chocolate trade in global history, Norton plays with </w:t>
      </w:r>
      <w:proofErr w:type="gramStart"/>
      <w:r>
        <w:rPr>
          <w:rFonts w:ascii="Garamond" w:hAnsi="Garamond"/>
        </w:rPr>
        <w:t>a really interesting</w:t>
      </w:r>
      <w:proofErr w:type="gramEnd"/>
      <w:r>
        <w:rPr>
          <w:rFonts w:ascii="Garamond" w:hAnsi="Garamond"/>
        </w:rPr>
        <w:t xml:space="preserve"> idea, here: is it possible to think of an experience like “taste” as something that has a history? Read this to set the stage for our lecture/discussion of chocolate and global trade in the early modern Atlantic World. </w:t>
      </w:r>
    </w:p>
    <w:p w14:paraId="1C8487F7" w14:textId="6D4F01D6" w:rsidR="001973A6" w:rsidRDefault="001136C7" w:rsidP="001136C7">
      <w:pPr>
        <w:pStyle w:val="ListParagraph"/>
        <w:ind w:left="360"/>
        <w:rPr>
          <w:rFonts w:ascii="Garamond" w:hAnsi="Garamond"/>
        </w:rPr>
      </w:pPr>
      <w:r>
        <w:rPr>
          <w:rFonts w:ascii="Garamond" w:hAnsi="Garamond"/>
        </w:rPr>
        <w:tab/>
        <w:t>For many of you, this might be the first professional history article that you’ve read. In that case, don’t worry! We’ll be looking closely at the piece together. Even so, please do your best to work through it before Thursday</w:t>
      </w:r>
      <w:r w:rsidR="004631E6">
        <w:rPr>
          <w:rFonts w:ascii="Garamond" w:hAnsi="Garamond"/>
        </w:rPr>
        <w:t>’s class</w:t>
      </w:r>
      <w:r>
        <w:rPr>
          <w:rFonts w:ascii="Garamond" w:hAnsi="Garamond"/>
        </w:rPr>
        <w:t xml:space="preserve">. </w:t>
      </w:r>
      <w:r w:rsidR="001973A6">
        <w:rPr>
          <w:rFonts w:ascii="Garamond" w:hAnsi="Garamond"/>
        </w:rPr>
        <w:t xml:space="preserve">Here’s what I mean when I say “work through it”: go slow and read carefully. If you’re pressed for time and have to make a decision about whether to finish the article by reading quickly, or only get through part of it by reading slowly, please </w:t>
      </w:r>
      <w:proofErr w:type="gramStart"/>
      <w:r w:rsidR="001973A6">
        <w:rPr>
          <w:rFonts w:ascii="Garamond" w:hAnsi="Garamond"/>
        </w:rPr>
        <w:t>know:</w:t>
      </w:r>
      <w:proofErr w:type="gramEnd"/>
      <w:r w:rsidR="001973A6">
        <w:rPr>
          <w:rFonts w:ascii="Garamond" w:hAnsi="Garamond"/>
        </w:rPr>
        <w:t xml:space="preserve"> it’s always better, for the purpose of this class, to read less but read it more carefully. There are entire (famous) history articles that I’ve only gotten through one or two paragraphs of, and that </w:t>
      </w:r>
      <w:r w:rsidR="001973A6">
        <w:rPr>
          <w:rFonts w:ascii="Garamond" w:hAnsi="Garamond"/>
        </w:rPr>
        <w:lastRenderedPageBreak/>
        <w:t>was enough for me to take some important sparkly inspiration from it that I could work with. In sum: read carefully, look for inspiration, and if that means reading less, then so be it. Now back to our regular programming…</w:t>
      </w:r>
    </w:p>
    <w:p w14:paraId="18359CB5" w14:textId="20DDB0FE" w:rsidR="001136C7" w:rsidRDefault="001136C7" w:rsidP="001973A6">
      <w:pPr>
        <w:pStyle w:val="ListParagraph"/>
        <w:ind w:left="360" w:firstLine="360"/>
        <w:rPr>
          <w:rFonts w:ascii="Garamond" w:hAnsi="Garamond"/>
        </w:rPr>
      </w:pPr>
      <w:r>
        <w:rPr>
          <w:rFonts w:ascii="Garamond" w:hAnsi="Garamond"/>
        </w:rPr>
        <w:t xml:space="preserve">As you read, ask yourself: in one sentence, </w:t>
      </w:r>
      <w:r w:rsidRPr="00DD78C7">
        <w:rPr>
          <w:rFonts w:ascii="Garamond" w:hAnsi="Garamond"/>
          <w:b/>
          <w:bCs/>
        </w:rPr>
        <w:t>what is Norton arguing</w:t>
      </w:r>
      <w:r>
        <w:rPr>
          <w:rFonts w:ascii="Garamond" w:hAnsi="Garamond"/>
        </w:rPr>
        <w:t xml:space="preserve"> here? What is Norton attempting to convince us of, and </w:t>
      </w:r>
      <w:r w:rsidRPr="00DD78C7">
        <w:rPr>
          <w:rFonts w:ascii="Garamond" w:hAnsi="Garamond"/>
          <w:b/>
          <w:bCs/>
        </w:rPr>
        <w:t>how is she using source materials to support the argument</w:t>
      </w:r>
      <w:r>
        <w:rPr>
          <w:rFonts w:ascii="Garamond" w:hAnsi="Garamond"/>
        </w:rPr>
        <w:t xml:space="preserve">? Why, for Norton, does this seem to matter? (Hint: part of what she’s arguing is about </w:t>
      </w:r>
      <w:r w:rsidR="001973A6">
        <w:rPr>
          <w:rFonts w:ascii="Garamond" w:hAnsi="Garamond"/>
        </w:rPr>
        <w:t xml:space="preserve">who (i.e., </w:t>
      </w:r>
      <w:r w:rsidR="00D94FAE">
        <w:rPr>
          <w:rFonts w:ascii="Garamond" w:hAnsi="Garamond"/>
        </w:rPr>
        <w:t>which</w:t>
      </w:r>
      <w:r>
        <w:rPr>
          <w:rFonts w:ascii="Garamond" w:hAnsi="Garamond"/>
        </w:rPr>
        <w:t xml:space="preserve"> other historians</w:t>
      </w:r>
      <w:r w:rsidR="001973A6">
        <w:rPr>
          <w:rFonts w:ascii="Garamond" w:hAnsi="Garamond"/>
        </w:rPr>
        <w:t>)</w:t>
      </w:r>
      <w:r>
        <w:rPr>
          <w:rFonts w:ascii="Garamond" w:hAnsi="Garamond"/>
        </w:rPr>
        <w:t xml:space="preserve"> she’s arguing with, the kinds of historical figures she thinks other historians have paid a lot of attention to in their work, and the kinds of historical figures that have been left out. She’s also interested in what it is that we should be talking about when we talk about a substance in history. That last issue is going to come back into our conversation </w:t>
      </w:r>
      <w:proofErr w:type="gramStart"/>
      <w:r>
        <w:rPr>
          <w:rFonts w:ascii="Garamond" w:hAnsi="Garamond"/>
        </w:rPr>
        <w:t>over and over again</w:t>
      </w:r>
      <w:proofErr w:type="gramEnd"/>
      <w:r>
        <w:rPr>
          <w:rFonts w:ascii="Garamond" w:hAnsi="Garamond"/>
        </w:rPr>
        <w:t>, this semester: we’ll begin with a discussion of chocolate, but it will follow us into our discussions of psychedelics, ginseng, anti-depressants, and much more.</w:t>
      </w:r>
    </w:p>
    <w:p w14:paraId="5BC97EB4" w14:textId="02DB9AFE" w:rsidR="001136C7" w:rsidRDefault="001136C7" w:rsidP="001136C7">
      <w:pPr>
        <w:pStyle w:val="ListParagraph"/>
        <w:ind w:left="360"/>
        <w:rPr>
          <w:rFonts w:ascii="Garamond" w:hAnsi="Garamond"/>
        </w:rPr>
      </w:pPr>
      <w:r>
        <w:rPr>
          <w:rFonts w:ascii="Garamond" w:hAnsi="Garamond"/>
        </w:rPr>
        <w:tab/>
        <w:t xml:space="preserve">To help you work through this piece, it might be helpful to understand how it’s put together, because this is a </w:t>
      </w:r>
      <w:proofErr w:type="gramStart"/>
      <w:r>
        <w:rPr>
          <w:rFonts w:ascii="Garamond" w:hAnsi="Garamond"/>
        </w:rPr>
        <w:t>fairly common</w:t>
      </w:r>
      <w:proofErr w:type="gramEnd"/>
      <w:r>
        <w:rPr>
          <w:rFonts w:ascii="Garamond" w:hAnsi="Garamond"/>
        </w:rPr>
        <w:t xml:space="preserve"> kind of reading (the academic article) in history. And so</w:t>
      </w:r>
      <w:r w:rsidR="004943DC">
        <w:rPr>
          <w:rFonts w:ascii="Garamond" w:hAnsi="Garamond"/>
        </w:rPr>
        <w:t>,</w:t>
      </w:r>
      <w:r>
        <w:rPr>
          <w:rFonts w:ascii="Garamond" w:hAnsi="Garamond"/>
        </w:rPr>
        <w:t xml:space="preserve"> I bring you: </w:t>
      </w:r>
    </w:p>
    <w:p w14:paraId="5C0EAD02" w14:textId="77777777" w:rsidR="001136C7" w:rsidRDefault="001136C7" w:rsidP="001136C7">
      <w:pPr>
        <w:pStyle w:val="ListParagraph"/>
        <w:ind w:left="360"/>
        <w:rPr>
          <w:rFonts w:ascii="Garamond" w:hAnsi="Garamond"/>
        </w:rPr>
      </w:pPr>
    </w:p>
    <w:p w14:paraId="3A101BF7" w14:textId="77777777" w:rsidR="001136C7" w:rsidRPr="00D34D30" w:rsidRDefault="001136C7" w:rsidP="001136C7">
      <w:pPr>
        <w:pStyle w:val="ListParagraph"/>
        <w:ind w:left="360"/>
        <w:jc w:val="center"/>
        <w:rPr>
          <w:rFonts w:ascii="Garamond" w:hAnsi="Garamond"/>
          <w:u w:val="single"/>
        </w:rPr>
      </w:pPr>
      <w:r w:rsidRPr="00D34D30">
        <w:rPr>
          <w:rFonts w:ascii="Garamond" w:hAnsi="Garamond"/>
          <w:u w:val="single"/>
        </w:rPr>
        <w:t xml:space="preserve">The Anatomy </w:t>
      </w:r>
      <w:proofErr w:type="gramStart"/>
      <w:r w:rsidRPr="00D34D30">
        <w:rPr>
          <w:rFonts w:ascii="Garamond" w:hAnsi="Garamond"/>
          <w:u w:val="single"/>
        </w:rPr>
        <w:t>Of</w:t>
      </w:r>
      <w:proofErr w:type="gramEnd"/>
      <w:r w:rsidRPr="00D34D30">
        <w:rPr>
          <w:rFonts w:ascii="Garamond" w:hAnsi="Garamond"/>
          <w:u w:val="single"/>
        </w:rPr>
        <w:t xml:space="preserve"> A History Journal Article </w:t>
      </w:r>
    </w:p>
    <w:p w14:paraId="170D9E56" w14:textId="77777777" w:rsidR="001136C7" w:rsidRDefault="001136C7" w:rsidP="001136C7">
      <w:pPr>
        <w:pStyle w:val="ListParagraph"/>
        <w:ind w:left="360"/>
        <w:jc w:val="center"/>
        <w:rPr>
          <w:rFonts w:ascii="Garamond" w:hAnsi="Garamond"/>
        </w:rPr>
      </w:pPr>
      <w:r>
        <w:rPr>
          <w:rFonts w:ascii="Garamond" w:hAnsi="Garamond"/>
        </w:rPr>
        <w:t>(</w:t>
      </w:r>
      <w:proofErr w:type="gramStart"/>
      <w:r>
        <w:rPr>
          <w:rFonts w:ascii="Garamond" w:hAnsi="Garamond"/>
        </w:rPr>
        <w:t>or</w:t>
      </w:r>
      <w:proofErr w:type="gramEnd"/>
      <w:r>
        <w:rPr>
          <w:rFonts w:ascii="Garamond" w:hAnsi="Garamond"/>
        </w:rPr>
        <w:t>, how to read the Norton piece and use this experience to read similar essays for other courses)</w:t>
      </w:r>
    </w:p>
    <w:p w14:paraId="00800749" w14:textId="77777777" w:rsidR="001136C7" w:rsidRDefault="001136C7" w:rsidP="001136C7">
      <w:pPr>
        <w:pStyle w:val="ListParagraph"/>
        <w:ind w:left="360"/>
        <w:rPr>
          <w:rFonts w:ascii="Garamond" w:hAnsi="Garamond"/>
        </w:rPr>
      </w:pPr>
    </w:p>
    <w:p w14:paraId="4AA43E48" w14:textId="058EF38A" w:rsidR="001136C7" w:rsidRDefault="001136C7" w:rsidP="001136C7">
      <w:pPr>
        <w:pStyle w:val="ListParagraph"/>
        <w:ind w:left="360"/>
        <w:rPr>
          <w:rFonts w:ascii="Garamond" w:hAnsi="Garamond"/>
        </w:rPr>
      </w:pPr>
      <w:r>
        <w:rPr>
          <w:rFonts w:ascii="Garamond" w:hAnsi="Garamond"/>
        </w:rPr>
        <w:t xml:space="preserve">A history journal article is a way for an author to contribute their perspective and expertise to understanding a historical phenomenon that matters to them. They do this by identifying an existing conversation about such a phenomenon and then explaining how their work on a particular topic </w:t>
      </w:r>
      <w:proofErr w:type="gramStart"/>
      <w:r>
        <w:rPr>
          <w:rFonts w:ascii="Garamond" w:hAnsi="Garamond"/>
        </w:rPr>
        <w:t>should be part of that conversation</w:t>
      </w:r>
      <w:proofErr w:type="gramEnd"/>
      <w:r>
        <w:rPr>
          <w:rFonts w:ascii="Garamond" w:hAnsi="Garamond"/>
        </w:rPr>
        <w:t>. And so</w:t>
      </w:r>
      <w:r w:rsidR="00352F6F">
        <w:rPr>
          <w:rFonts w:ascii="Garamond" w:hAnsi="Garamond"/>
        </w:rPr>
        <w:t>,</w:t>
      </w:r>
      <w:r>
        <w:rPr>
          <w:rFonts w:ascii="Garamond" w:hAnsi="Garamond"/>
        </w:rPr>
        <w:t xml:space="preserve"> their article </w:t>
      </w:r>
      <w:proofErr w:type="gramStart"/>
      <w:r>
        <w:rPr>
          <w:rFonts w:ascii="Garamond" w:hAnsi="Garamond"/>
        </w:rPr>
        <w:t>has to</w:t>
      </w:r>
      <w:proofErr w:type="gramEnd"/>
      <w:r>
        <w:rPr>
          <w:rFonts w:ascii="Garamond" w:hAnsi="Garamond"/>
        </w:rPr>
        <w:t xml:space="preserve"> do two kinds of work: it has to explain the nature of the conversation that they’re contributing to, and then explain how the particular case study that they’re working on contributes to </w:t>
      </w:r>
      <w:r w:rsidR="00352F6F">
        <w:rPr>
          <w:rFonts w:ascii="Garamond" w:hAnsi="Garamond"/>
        </w:rPr>
        <w:t>that conversation</w:t>
      </w:r>
      <w:r>
        <w:rPr>
          <w:rFonts w:ascii="Garamond" w:hAnsi="Garamond"/>
        </w:rPr>
        <w:t xml:space="preserve">. Often, articles do this by doing what Norton’s does, splitting the text into two parts that do those two different kinds of work: </w:t>
      </w:r>
    </w:p>
    <w:p w14:paraId="19F623EE" w14:textId="77777777" w:rsidR="001136C7" w:rsidRDefault="001136C7" w:rsidP="001136C7">
      <w:pPr>
        <w:pStyle w:val="ListParagraph"/>
        <w:ind w:left="360"/>
        <w:rPr>
          <w:rFonts w:ascii="Garamond" w:hAnsi="Garamond"/>
        </w:rPr>
      </w:pPr>
    </w:p>
    <w:p w14:paraId="12CD2340" w14:textId="06C7D303" w:rsidR="001136C7" w:rsidRDefault="001136C7" w:rsidP="001136C7">
      <w:pPr>
        <w:pStyle w:val="ListParagraph"/>
        <w:numPr>
          <w:ilvl w:val="0"/>
          <w:numId w:val="2"/>
        </w:numPr>
        <w:rPr>
          <w:rFonts w:ascii="Garamond" w:hAnsi="Garamond"/>
        </w:rPr>
      </w:pPr>
      <w:r>
        <w:rPr>
          <w:rFonts w:ascii="Garamond" w:hAnsi="Garamond"/>
        </w:rPr>
        <w:t xml:space="preserve">The first part (pp 660-670) explains the conversation that Norton’s research contributes to, and why it should matter to readers. It states (1) what the essay is arguing [check out the very first paragraph after the introductory quotation for a good summary of this], (2) who it’s arguing with [a lot of this is laid out on 661-667], and (3) why that matters [check out the topic sentence of the paragraph on the top of 661, and the discussion from 667-670]. It’s not important, at this stage, to worry about the other scholars that she names in this section: she’s naming people in the conversation that she’s contributing </w:t>
      </w:r>
      <w:proofErr w:type="gramStart"/>
      <w:r>
        <w:rPr>
          <w:rFonts w:ascii="Garamond" w:hAnsi="Garamond"/>
        </w:rPr>
        <w:t>to, and</w:t>
      </w:r>
      <w:proofErr w:type="gramEnd"/>
      <w:r>
        <w:rPr>
          <w:rFonts w:ascii="Garamond" w:hAnsi="Garamond"/>
        </w:rPr>
        <w:t xml:space="preserve"> establishing that her work is relevant to understanding theirs as well. (All historians working in this genre </w:t>
      </w:r>
      <w:proofErr w:type="gramStart"/>
      <w:r>
        <w:rPr>
          <w:rFonts w:ascii="Garamond" w:hAnsi="Garamond"/>
        </w:rPr>
        <w:t>have to</w:t>
      </w:r>
      <w:proofErr w:type="gramEnd"/>
      <w:r>
        <w:rPr>
          <w:rFonts w:ascii="Garamond" w:hAnsi="Garamond"/>
        </w:rPr>
        <w:t xml:space="preserve"> do this. It’s a way of explaining why anyone should listen to what you have to say, and of showing that you’re not just yelling </w:t>
      </w:r>
      <w:r w:rsidR="00274494">
        <w:rPr>
          <w:rFonts w:ascii="Garamond" w:hAnsi="Garamond"/>
        </w:rPr>
        <w:t xml:space="preserve">things </w:t>
      </w:r>
      <w:r>
        <w:rPr>
          <w:rFonts w:ascii="Garamond" w:hAnsi="Garamond"/>
        </w:rPr>
        <w:t>at people and expecting them to care</w:t>
      </w:r>
      <w:r w:rsidR="00274494">
        <w:rPr>
          <w:rFonts w:ascii="Garamond" w:hAnsi="Garamond"/>
        </w:rPr>
        <w:t xml:space="preserve"> just because you’re awesome</w:t>
      </w:r>
      <w:r>
        <w:rPr>
          <w:rFonts w:ascii="Garamond" w:hAnsi="Garamond"/>
        </w:rPr>
        <w:t xml:space="preserve">, but instead you’re listening to other people and speaking with them.) </w:t>
      </w:r>
    </w:p>
    <w:p w14:paraId="62CE1428" w14:textId="77777777" w:rsidR="001136C7" w:rsidRDefault="001136C7" w:rsidP="001136C7">
      <w:pPr>
        <w:pStyle w:val="ListParagraph"/>
        <w:numPr>
          <w:ilvl w:val="1"/>
          <w:numId w:val="2"/>
        </w:numPr>
        <w:rPr>
          <w:rFonts w:ascii="Garamond" w:hAnsi="Garamond"/>
        </w:rPr>
      </w:pPr>
      <w:r>
        <w:rPr>
          <w:rFonts w:ascii="Garamond" w:hAnsi="Garamond"/>
        </w:rPr>
        <w:t>The very first page (660) lays out the main points, names the kind of history Norton is arguing with, explains what her argument is, and tells readers that this is relevant to the history of taste. For our purposes in this class, it’s also about the history of drugs even though she doesn’t state that explicitly.</w:t>
      </w:r>
    </w:p>
    <w:p w14:paraId="16E82E6E" w14:textId="77777777" w:rsidR="001136C7" w:rsidRDefault="001136C7" w:rsidP="001136C7">
      <w:pPr>
        <w:pStyle w:val="ListParagraph"/>
        <w:numPr>
          <w:ilvl w:val="1"/>
          <w:numId w:val="2"/>
        </w:numPr>
        <w:rPr>
          <w:rFonts w:ascii="Garamond" w:hAnsi="Garamond"/>
        </w:rPr>
      </w:pPr>
      <w:r>
        <w:rPr>
          <w:rFonts w:ascii="Garamond" w:hAnsi="Garamond"/>
        </w:rPr>
        <w:t xml:space="preserve">The second page states the relevance of Norton’s work for understanding how history deals with inequalities of power in class, race, </w:t>
      </w:r>
      <w:proofErr w:type="gramStart"/>
      <w:r>
        <w:rPr>
          <w:rFonts w:ascii="Garamond" w:hAnsi="Garamond"/>
        </w:rPr>
        <w:t>gender</w:t>
      </w:r>
      <w:proofErr w:type="gramEnd"/>
      <w:r>
        <w:rPr>
          <w:rFonts w:ascii="Garamond" w:hAnsi="Garamond"/>
        </w:rPr>
        <w:t xml:space="preserve"> and lots of </w:t>
      </w:r>
      <w:r>
        <w:rPr>
          <w:rFonts w:ascii="Garamond" w:hAnsi="Garamond"/>
        </w:rPr>
        <w:lastRenderedPageBreak/>
        <w:t xml:space="preserve">other categories: this is essentially what she’s talking about when she names colonialism and imperialism as factors here. Who gets to have the power to shape history? Well, that depends in part on whom the historians are paying attention to when they tell their stories. Part of what Norton is going to argue is that historians have been privileging white European knowledge and culture in history, and not acknowledging the power and agency of indigenous knowledge and peoples. </w:t>
      </w:r>
    </w:p>
    <w:p w14:paraId="6449FB04" w14:textId="77777777" w:rsidR="001136C7" w:rsidRDefault="001136C7" w:rsidP="001136C7">
      <w:pPr>
        <w:pStyle w:val="ListParagraph"/>
        <w:numPr>
          <w:ilvl w:val="1"/>
          <w:numId w:val="2"/>
        </w:numPr>
        <w:rPr>
          <w:rFonts w:ascii="Garamond" w:hAnsi="Garamond"/>
        </w:rPr>
      </w:pPr>
      <w:r>
        <w:rPr>
          <w:rFonts w:ascii="Garamond" w:hAnsi="Garamond"/>
        </w:rPr>
        <w:t>Ok, then she names two major concepts that are going to be crucial to this work: (1) essentialism, and (2) functionalism. These are super important to what she’s arguing and why that’s important for drug history more broadly. If the “</w:t>
      </w:r>
      <w:proofErr w:type="spellStart"/>
      <w:r>
        <w:rPr>
          <w:rFonts w:ascii="Garamond" w:hAnsi="Garamond"/>
        </w:rPr>
        <w:t>ism”’s</w:t>
      </w:r>
      <w:proofErr w:type="spellEnd"/>
      <w:r>
        <w:rPr>
          <w:rFonts w:ascii="Garamond" w:hAnsi="Garamond"/>
        </w:rPr>
        <w:t xml:space="preserve"> </w:t>
      </w:r>
      <w:proofErr w:type="gramStart"/>
      <w:r>
        <w:rPr>
          <w:rFonts w:ascii="Garamond" w:hAnsi="Garamond"/>
        </w:rPr>
        <w:t>get</w:t>
      </w:r>
      <w:proofErr w:type="gramEnd"/>
      <w:r>
        <w:rPr>
          <w:rFonts w:ascii="Garamond" w:hAnsi="Garamond"/>
        </w:rPr>
        <w:t xml:space="preserve"> in the way, don’t worry about the terminology and instead try to think about the points that she’s making and why they might be important for how we think about drugs and the past. </w:t>
      </w:r>
    </w:p>
    <w:p w14:paraId="052FA61E" w14:textId="1F4E62D3" w:rsidR="001136C7" w:rsidRDefault="001136C7" w:rsidP="001136C7">
      <w:pPr>
        <w:pStyle w:val="ListParagraph"/>
        <w:numPr>
          <w:ilvl w:val="2"/>
          <w:numId w:val="2"/>
        </w:numPr>
        <w:rPr>
          <w:rFonts w:ascii="Garamond" w:hAnsi="Garamond"/>
        </w:rPr>
      </w:pPr>
      <w:r>
        <w:rPr>
          <w:rFonts w:ascii="Garamond" w:hAnsi="Garamond"/>
        </w:rPr>
        <w:t xml:space="preserve">To understand her notion of (1) essentialism and why it’s important to what we’ll be studying this term, it might be clearest to focus on what she calls “biological” essentialism. The idea here is that there’s some inherent biological property (and we can extend this to chemical, physical properties as well) that makes a thing behave the same way across space, time, and contexts, and it determines how that thing is used or </w:t>
      </w:r>
      <w:r w:rsidR="00B53FDF">
        <w:rPr>
          <w:rFonts w:ascii="Garamond" w:hAnsi="Garamond"/>
        </w:rPr>
        <w:t>what qualities it has</w:t>
      </w:r>
      <w:r>
        <w:rPr>
          <w:rFonts w:ascii="Garamond" w:hAnsi="Garamond"/>
        </w:rPr>
        <w:t>. An apple is an apple is an apple, in other words, and its essential apple-ness constrains how people experience, understand, and use it. The human body is the same all over</w:t>
      </w:r>
      <w:r w:rsidR="00B53FDF">
        <w:rPr>
          <w:rFonts w:ascii="Garamond" w:hAnsi="Garamond"/>
        </w:rPr>
        <w:t>.</w:t>
      </w:r>
      <w:r>
        <w:rPr>
          <w:rFonts w:ascii="Garamond" w:hAnsi="Garamond"/>
        </w:rPr>
        <w:t xml:space="preserve"> In her history of chocolate, Norton is going to argue that substances and bodies </w:t>
      </w:r>
      <w:r w:rsidR="00B53FDF">
        <w:rPr>
          <w:rFonts w:ascii="Garamond" w:hAnsi="Garamond"/>
          <w:i/>
          <w:iCs/>
        </w:rPr>
        <w:t>are not</w:t>
      </w:r>
      <w:r>
        <w:rPr>
          <w:rFonts w:ascii="Garamond" w:hAnsi="Garamond"/>
        </w:rPr>
        <w:t xml:space="preserve"> only (or even mostly) determined by their biology.</w:t>
      </w:r>
    </w:p>
    <w:p w14:paraId="10048253" w14:textId="0BF83C71" w:rsidR="001136C7" w:rsidRDefault="001136C7" w:rsidP="001136C7">
      <w:pPr>
        <w:pStyle w:val="ListParagraph"/>
        <w:numPr>
          <w:ilvl w:val="2"/>
          <w:numId w:val="2"/>
        </w:numPr>
        <w:rPr>
          <w:rFonts w:ascii="Garamond" w:hAnsi="Garamond"/>
        </w:rPr>
      </w:pPr>
      <w:r>
        <w:rPr>
          <w:rFonts w:ascii="Garamond" w:hAnsi="Garamond"/>
        </w:rPr>
        <w:t xml:space="preserve">What she calls “functionalism” is important here because it assumes that indigenous Mesoamerican knowledge was only important because of the </w:t>
      </w:r>
      <w:r>
        <w:rPr>
          <w:rFonts w:ascii="Garamond" w:hAnsi="Garamond"/>
          <w:i/>
          <w:iCs/>
        </w:rPr>
        <w:t>function</w:t>
      </w:r>
      <w:r>
        <w:rPr>
          <w:rFonts w:ascii="Garamond" w:hAnsi="Garamond"/>
        </w:rPr>
        <w:t xml:space="preserve"> that it serve</w:t>
      </w:r>
      <w:r w:rsidR="00B53FDF">
        <w:rPr>
          <w:rFonts w:ascii="Garamond" w:hAnsi="Garamond"/>
        </w:rPr>
        <w:t>d</w:t>
      </w:r>
      <w:r>
        <w:rPr>
          <w:rFonts w:ascii="Garamond" w:hAnsi="Garamond"/>
        </w:rPr>
        <w:t xml:space="preserve"> for European society and culture (and thus assumes that European culture was a coherent kind of thing that didn’t transform when encountering colonial knowledge, and that indigenous knowledge wasn’t powerful enough to transform another culture). </w:t>
      </w:r>
    </w:p>
    <w:p w14:paraId="18087130" w14:textId="77777777" w:rsidR="001136C7" w:rsidRDefault="001136C7" w:rsidP="001136C7">
      <w:pPr>
        <w:pStyle w:val="ListParagraph"/>
        <w:numPr>
          <w:ilvl w:val="2"/>
          <w:numId w:val="2"/>
        </w:numPr>
        <w:rPr>
          <w:rFonts w:ascii="Garamond" w:hAnsi="Garamond"/>
        </w:rPr>
      </w:pPr>
      <w:r>
        <w:rPr>
          <w:rFonts w:ascii="Garamond" w:hAnsi="Garamond"/>
        </w:rPr>
        <w:t xml:space="preserve">So, this doesn’t encapsulate everything that’s going on in this article, and you need to read through it and decide what you think is going on and what you think is important, but hopefully it gets you started. </w:t>
      </w:r>
    </w:p>
    <w:p w14:paraId="16EAF969" w14:textId="77777777" w:rsidR="001136C7" w:rsidRDefault="001136C7" w:rsidP="001136C7">
      <w:pPr>
        <w:pStyle w:val="ListParagraph"/>
        <w:numPr>
          <w:ilvl w:val="1"/>
          <w:numId w:val="2"/>
        </w:numPr>
        <w:rPr>
          <w:rFonts w:ascii="Garamond" w:hAnsi="Garamond"/>
        </w:rPr>
      </w:pPr>
      <w:r>
        <w:rPr>
          <w:rFonts w:ascii="Garamond" w:hAnsi="Garamond"/>
        </w:rPr>
        <w:t xml:space="preserve">From the end of 661-the middle of 664, she names a bunch of people who do the things she’s criticizing. And then she’s going to spend a few pages explaining how chocolate is a good case study to </w:t>
      </w:r>
      <w:proofErr w:type="gramStart"/>
      <w:r>
        <w:rPr>
          <w:rFonts w:ascii="Garamond" w:hAnsi="Garamond"/>
        </w:rPr>
        <w:t>effect</w:t>
      </w:r>
      <w:proofErr w:type="gramEnd"/>
      <w:r>
        <w:rPr>
          <w:rFonts w:ascii="Garamond" w:hAnsi="Garamond"/>
        </w:rPr>
        <w:t xml:space="preserve"> the kind of criticism she’s been talking about. </w:t>
      </w:r>
    </w:p>
    <w:p w14:paraId="4F6EE2BF" w14:textId="77777777" w:rsidR="001136C7" w:rsidRPr="00B72CC5" w:rsidRDefault="001136C7" w:rsidP="001136C7">
      <w:pPr>
        <w:pStyle w:val="ListParagraph"/>
        <w:numPr>
          <w:ilvl w:val="1"/>
          <w:numId w:val="2"/>
        </w:numPr>
        <w:rPr>
          <w:rFonts w:ascii="Garamond" w:hAnsi="Garamond"/>
        </w:rPr>
      </w:pPr>
      <w:r>
        <w:rPr>
          <w:rFonts w:ascii="Garamond" w:hAnsi="Garamond"/>
        </w:rPr>
        <w:t>From 667-the end of 670, she comes back to the main ideas above (biological essentialism, cultural functionalism) but puts them into the context of chocolate specifically.</w:t>
      </w:r>
    </w:p>
    <w:p w14:paraId="6BFD9CAA" w14:textId="77777777" w:rsidR="001136C7" w:rsidRDefault="001136C7" w:rsidP="001136C7">
      <w:pPr>
        <w:pStyle w:val="ListParagraph"/>
        <w:numPr>
          <w:ilvl w:val="0"/>
          <w:numId w:val="2"/>
        </w:numPr>
        <w:rPr>
          <w:rFonts w:ascii="Garamond" w:hAnsi="Garamond"/>
        </w:rPr>
      </w:pPr>
      <w:r>
        <w:rPr>
          <w:rFonts w:ascii="Garamond" w:hAnsi="Garamond"/>
        </w:rPr>
        <w:t xml:space="preserve">The second part (pp 670-691) explains the details of the case study that Norton works on, showing detailed evidence from primary sources that she works with. This is where you’re going to find </w:t>
      </w:r>
      <w:proofErr w:type="gramStart"/>
      <w:r>
        <w:rPr>
          <w:rFonts w:ascii="Garamond" w:hAnsi="Garamond"/>
        </w:rPr>
        <w:t>really interesting</w:t>
      </w:r>
      <w:proofErr w:type="gramEnd"/>
      <w:r>
        <w:rPr>
          <w:rFonts w:ascii="Garamond" w:hAnsi="Garamond"/>
        </w:rPr>
        <w:t xml:space="preserve"> historical material on chocolate and its history. We will be going over some of the broad brushstrokes of this history in lecture, but </w:t>
      </w:r>
      <w:r>
        <w:rPr>
          <w:rFonts w:ascii="Garamond" w:hAnsi="Garamond"/>
          <w:i/>
          <w:iCs/>
        </w:rPr>
        <w:t>not</w:t>
      </w:r>
      <w:r>
        <w:rPr>
          <w:rFonts w:ascii="Garamond" w:hAnsi="Garamond"/>
        </w:rPr>
        <w:t xml:space="preserve"> repeating the detail here: this part of the article is </w:t>
      </w:r>
      <w:r>
        <w:rPr>
          <w:rFonts w:ascii="Garamond" w:hAnsi="Garamond"/>
        </w:rPr>
        <w:lastRenderedPageBreak/>
        <w:t>meant to fill that in for you. (In general, lectures will not be repeating what’s in the readings: they are meant to work in harmony, not to reproduce each other.)</w:t>
      </w:r>
    </w:p>
    <w:p w14:paraId="7B701972" w14:textId="77777777" w:rsidR="001136C7" w:rsidRDefault="001136C7" w:rsidP="001136C7">
      <w:pPr>
        <w:pStyle w:val="ListParagraph"/>
        <w:numPr>
          <w:ilvl w:val="1"/>
          <w:numId w:val="2"/>
        </w:numPr>
        <w:rPr>
          <w:rFonts w:ascii="Garamond" w:hAnsi="Garamond"/>
        </w:rPr>
      </w:pPr>
      <w:r>
        <w:rPr>
          <w:rFonts w:ascii="Garamond" w:hAnsi="Garamond"/>
        </w:rPr>
        <w:t xml:space="preserve">If you’re interested in exploring some of the primary sources that she uses in this section of the article, you can find some great examples online. These are </w:t>
      </w:r>
      <w:r>
        <w:rPr>
          <w:rFonts w:ascii="Garamond" w:hAnsi="Garamond"/>
          <w:i/>
          <w:iCs/>
        </w:rPr>
        <w:t>not</w:t>
      </w:r>
      <w:r>
        <w:rPr>
          <w:rFonts w:ascii="Garamond" w:hAnsi="Garamond"/>
        </w:rPr>
        <w:t xml:space="preserve"> required, but I wanted to make them available to you as supplementary texts:</w:t>
      </w:r>
    </w:p>
    <w:p w14:paraId="168D15A4" w14:textId="77777777" w:rsidR="001136C7" w:rsidRDefault="001136C7" w:rsidP="001136C7">
      <w:pPr>
        <w:pStyle w:val="ListParagraph"/>
        <w:ind w:left="2160"/>
        <w:rPr>
          <w:rFonts w:ascii="Garamond" w:hAnsi="Garamond"/>
        </w:rPr>
      </w:pPr>
    </w:p>
    <w:p w14:paraId="3D83E55B" w14:textId="77777777" w:rsidR="001136C7" w:rsidRPr="00034FEC" w:rsidRDefault="001136C7" w:rsidP="001136C7">
      <w:pPr>
        <w:pStyle w:val="ListParagraph"/>
        <w:ind w:left="2160"/>
        <w:rPr>
          <w:rFonts w:ascii="Garamond" w:hAnsi="Garamond"/>
        </w:rPr>
      </w:pPr>
      <w:r w:rsidRPr="00034FEC">
        <w:rPr>
          <w:rFonts w:ascii="Garamond" w:hAnsi="Garamond"/>
          <w:b/>
          <w:i/>
        </w:rPr>
        <w:t>Codex Mendoza</w:t>
      </w:r>
      <w:r w:rsidRPr="00034FEC">
        <w:rPr>
          <w:rFonts w:ascii="Garamond" w:hAnsi="Garamond"/>
          <w:b/>
        </w:rPr>
        <w:t xml:space="preserve"> (selections posted on </w:t>
      </w:r>
      <w:r w:rsidRPr="00034FEC">
        <w:rPr>
          <w:rFonts w:ascii="Garamond" w:hAnsi="Garamond"/>
          <w:b/>
          <w:i/>
        </w:rPr>
        <w:t>Public Domain Review</w:t>
      </w:r>
      <w:r w:rsidRPr="00034FEC">
        <w:rPr>
          <w:rFonts w:ascii="Garamond" w:hAnsi="Garamond"/>
          <w:b/>
        </w:rPr>
        <w:t xml:space="preserve">) </w:t>
      </w:r>
    </w:p>
    <w:p w14:paraId="0802B76B" w14:textId="77777777" w:rsidR="001136C7" w:rsidRPr="00AB675B" w:rsidRDefault="001136C7" w:rsidP="001136C7">
      <w:pPr>
        <w:pStyle w:val="ListParagraph"/>
        <w:ind w:left="2160"/>
        <w:rPr>
          <w:rFonts w:ascii="Garamond" w:hAnsi="Garamond"/>
        </w:rPr>
      </w:pPr>
      <w:hyperlink r:id="rId8" w:history="1">
        <w:r w:rsidRPr="00E469B1">
          <w:rPr>
            <w:rStyle w:val="Hyperlink"/>
            <w:rFonts w:ascii="Garamond" w:hAnsi="Garamond"/>
          </w:rPr>
          <w:t>https://publicdomainrevie</w:t>
        </w:r>
        <w:r w:rsidRPr="00E469B1">
          <w:rPr>
            <w:rStyle w:val="Hyperlink"/>
            <w:rFonts w:ascii="Garamond" w:hAnsi="Garamond"/>
          </w:rPr>
          <w:t>w</w:t>
        </w:r>
        <w:r w:rsidRPr="00E469B1">
          <w:rPr>
            <w:rStyle w:val="Hyperlink"/>
            <w:rFonts w:ascii="Garamond" w:hAnsi="Garamond"/>
          </w:rPr>
          <w:t>.org/collections/codex-mendoza-1542/</w:t>
        </w:r>
      </w:hyperlink>
      <w:r>
        <w:rPr>
          <w:rStyle w:val="Hyperlink"/>
          <w:rFonts w:ascii="Garamond" w:hAnsi="Garamond"/>
        </w:rPr>
        <w:t xml:space="preserve"> </w:t>
      </w:r>
      <w:r>
        <w:rPr>
          <w:rStyle w:val="Hyperlink"/>
          <w:rFonts w:ascii="Garamond" w:hAnsi="Garamond"/>
          <w:u w:val="none"/>
        </w:rPr>
        <w:t xml:space="preserve"> </w:t>
      </w:r>
    </w:p>
    <w:p w14:paraId="0BDA6C94" w14:textId="021FB663" w:rsidR="001136C7" w:rsidRDefault="001136C7" w:rsidP="001136C7">
      <w:pPr>
        <w:pStyle w:val="ListParagraph"/>
        <w:ind w:left="2160"/>
        <w:rPr>
          <w:rFonts w:ascii="Garamond" w:hAnsi="Garamond"/>
        </w:rPr>
      </w:pPr>
      <w:r>
        <w:rPr>
          <w:rFonts w:ascii="Garamond" w:hAnsi="Garamond"/>
        </w:rPr>
        <w:t xml:space="preserve">This is </w:t>
      </w:r>
      <w:r w:rsidR="00402291">
        <w:rPr>
          <w:rFonts w:ascii="Garamond" w:hAnsi="Garamond"/>
        </w:rPr>
        <w:t>a</w:t>
      </w:r>
      <w:r>
        <w:rPr>
          <w:rFonts w:ascii="Garamond" w:hAnsi="Garamond"/>
        </w:rPr>
        <w:t xml:space="preserve"> primary source of critical importance to the history of the Atlantic World, and especially of chocolate. As you look at these images of the document, which we’ll talk about in class, recall the ways in which Norton uses this as evidence for her history of chocolate. Note the use of images. As you look this over, consider: What kind of text is this? Who wrote it? </w:t>
      </w:r>
      <w:r w:rsidR="00402291">
        <w:rPr>
          <w:rFonts w:ascii="Garamond" w:hAnsi="Garamond"/>
        </w:rPr>
        <w:t xml:space="preserve">How do we know? </w:t>
      </w:r>
      <w:proofErr w:type="gramStart"/>
      <w:r>
        <w:rPr>
          <w:rFonts w:ascii="Garamond" w:hAnsi="Garamond"/>
        </w:rPr>
        <w:t>What</w:t>
      </w:r>
      <w:proofErr w:type="gramEnd"/>
      <w:r>
        <w:rPr>
          <w:rFonts w:ascii="Garamond" w:hAnsi="Garamond"/>
        </w:rPr>
        <w:t xml:space="preserve"> can we use it to say about history? What is it to “read” these images, and to use them as sources for understanding history? </w:t>
      </w:r>
    </w:p>
    <w:p w14:paraId="55841AD8" w14:textId="77777777" w:rsidR="001136C7" w:rsidRDefault="001136C7" w:rsidP="001136C7">
      <w:pPr>
        <w:pStyle w:val="ListParagraph"/>
        <w:ind w:left="360"/>
        <w:rPr>
          <w:rFonts w:ascii="Garamond" w:hAnsi="Garamond"/>
        </w:rPr>
      </w:pPr>
    </w:p>
    <w:p w14:paraId="4806A955" w14:textId="77777777" w:rsidR="001136C7" w:rsidRPr="00034FEC" w:rsidRDefault="001136C7" w:rsidP="001136C7">
      <w:pPr>
        <w:ind w:left="1440" w:firstLine="720"/>
        <w:rPr>
          <w:rFonts w:ascii="Garamond" w:hAnsi="Garamond"/>
          <w:b/>
        </w:rPr>
      </w:pPr>
      <w:r w:rsidRPr="00034FEC">
        <w:rPr>
          <w:rFonts w:ascii="Garamond" w:hAnsi="Garamond"/>
          <w:b/>
          <w:i/>
        </w:rPr>
        <w:t>Florentine Codex</w:t>
      </w:r>
      <w:r w:rsidRPr="00034FEC">
        <w:rPr>
          <w:rFonts w:ascii="Garamond" w:hAnsi="Garamond"/>
          <w:b/>
        </w:rPr>
        <w:t xml:space="preserve">, </w:t>
      </w:r>
      <w:r w:rsidRPr="00034FEC">
        <w:rPr>
          <w:rFonts w:ascii="Garamond" w:hAnsi="Garamond"/>
          <w:b/>
          <w:i/>
        </w:rPr>
        <w:t>Book 1</w:t>
      </w:r>
    </w:p>
    <w:p w14:paraId="429B0C0D" w14:textId="77777777" w:rsidR="001136C7" w:rsidRDefault="001136C7" w:rsidP="001136C7">
      <w:pPr>
        <w:ind w:left="2160"/>
        <w:rPr>
          <w:rFonts w:ascii="Garamond" w:hAnsi="Garamond"/>
        </w:rPr>
      </w:pPr>
      <w:hyperlink r:id="rId9" w:history="1">
        <w:r w:rsidRPr="008B3F69">
          <w:rPr>
            <w:rStyle w:val="Hyperlink"/>
            <w:rFonts w:ascii="Garamond" w:hAnsi="Garamond"/>
          </w:rPr>
          <w:t>https://www.wdl.org/en/ite</w:t>
        </w:r>
        <w:r w:rsidRPr="008B3F69">
          <w:rPr>
            <w:rStyle w:val="Hyperlink"/>
            <w:rFonts w:ascii="Garamond" w:hAnsi="Garamond"/>
          </w:rPr>
          <w:t>m</w:t>
        </w:r>
        <w:r w:rsidRPr="008B3F69">
          <w:rPr>
            <w:rStyle w:val="Hyperlink"/>
            <w:rFonts w:ascii="Garamond" w:hAnsi="Garamond"/>
          </w:rPr>
          <w:t>/10612/view/1/1/</w:t>
        </w:r>
      </w:hyperlink>
    </w:p>
    <w:p w14:paraId="5B993481" w14:textId="374FE84D" w:rsidR="001136C7" w:rsidRPr="00626619" w:rsidRDefault="001136C7" w:rsidP="001136C7">
      <w:pPr>
        <w:ind w:left="2160"/>
        <w:rPr>
          <w:rFonts w:ascii="Garamond" w:hAnsi="Garamond"/>
        </w:rPr>
      </w:pPr>
      <w:r>
        <w:rPr>
          <w:rFonts w:ascii="Garamond" w:hAnsi="Garamond"/>
        </w:rPr>
        <w:t xml:space="preserve">These are the images from the first book of the </w:t>
      </w:r>
      <w:r>
        <w:rPr>
          <w:rFonts w:ascii="Garamond" w:hAnsi="Garamond"/>
          <w:i/>
        </w:rPr>
        <w:t>Florentine Codex</w:t>
      </w:r>
      <w:r>
        <w:rPr>
          <w:rFonts w:ascii="Garamond" w:hAnsi="Garamond"/>
        </w:rPr>
        <w:t>. If you choose to browse this link, consider the question</w:t>
      </w:r>
      <w:r w:rsidR="00402291">
        <w:rPr>
          <w:rFonts w:ascii="Garamond" w:hAnsi="Garamond"/>
        </w:rPr>
        <w:t xml:space="preserve">s above, which also apply here. </w:t>
      </w:r>
      <w:r w:rsidRPr="00626619">
        <w:rPr>
          <w:rFonts w:ascii="Garamond" w:hAnsi="Garamond"/>
        </w:rPr>
        <w:t xml:space="preserve">If you want to browse the text and not just the images, it is available in translation here: </w:t>
      </w:r>
      <w:hyperlink r:id="rId10" w:history="1">
        <w:r w:rsidRPr="00626619">
          <w:rPr>
            <w:rStyle w:val="Hyperlink"/>
            <w:rFonts w:ascii="Garamond" w:hAnsi="Garamond"/>
          </w:rPr>
          <w:t>https://babel.hathitrust.org/cgi/pt?id=mdp.39015064834677&amp;view=1up&amp;seq=7</w:t>
        </w:r>
      </w:hyperlink>
    </w:p>
    <w:p w14:paraId="1F803266" w14:textId="77777777" w:rsidR="001136C7" w:rsidRDefault="001136C7" w:rsidP="001136C7">
      <w:pPr>
        <w:rPr>
          <w:rFonts w:ascii="Garamond" w:hAnsi="Garamond"/>
        </w:rPr>
      </w:pPr>
    </w:p>
    <w:p w14:paraId="141A3E5C" w14:textId="300D409B" w:rsidR="001136C7" w:rsidRDefault="001136C7" w:rsidP="001136C7">
      <w:pPr>
        <w:rPr>
          <w:rFonts w:ascii="Garamond" w:hAnsi="Garamond"/>
        </w:rPr>
      </w:pPr>
      <w:r>
        <w:rPr>
          <w:rFonts w:ascii="Garamond" w:hAnsi="Garamond"/>
        </w:rPr>
        <w:t xml:space="preserve">OK, that should do it! I usually won’t be laying out the readings in detail like this, but I have in this case since this is the first one and it might be particularly difficult for that reason, especially if you haven’t taken many history courses before. With all of this </w:t>
      </w:r>
      <w:proofErr w:type="gramStart"/>
      <w:r>
        <w:rPr>
          <w:rFonts w:ascii="Garamond" w:hAnsi="Garamond"/>
        </w:rPr>
        <w:t>said, and</w:t>
      </w:r>
      <w:proofErr w:type="gramEnd"/>
      <w:r>
        <w:rPr>
          <w:rFonts w:ascii="Garamond" w:hAnsi="Garamond"/>
        </w:rPr>
        <w:t xml:space="preserve"> listen closely because this is important: </w:t>
      </w:r>
      <w:r w:rsidRPr="00652EE4">
        <w:rPr>
          <w:rFonts w:ascii="Garamond" w:hAnsi="Garamond"/>
          <w:b/>
          <w:bCs/>
        </w:rPr>
        <w:t>THERE IS NO RIGHT WAY TO READ THIS ARTICLE</w:t>
      </w:r>
      <w:r>
        <w:rPr>
          <w:rFonts w:ascii="Garamond" w:hAnsi="Garamond"/>
        </w:rPr>
        <w:t>. I want you to learn how to do it in the accepted disciplinary way (outlin</w:t>
      </w:r>
      <w:r w:rsidR="00402291">
        <w:rPr>
          <w:rFonts w:ascii="Garamond" w:hAnsi="Garamond"/>
        </w:rPr>
        <w:t>e</w:t>
      </w:r>
      <w:r>
        <w:rPr>
          <w:rFonts w:ascii="Garamond" w:hAnsi="Garamond"/>
        </w:rPr>
        <w:t xml:space="preserve">d above) so that you develop that skill, but once you have that down, please make this article into what you need it to be </w:t>
      </w:r>
      <w:proofErr w:type="gramStart"/>
      <w:r>
        <w:rPr>
          <w:rFonts w:ascii="Garamond" w:hAnsi="Garamond"/>
        </w:rPr>
        <w:t>in order to</w:t>
      </w:r>
      <w:proofErr w:type="gramEnd"/>
      <w:r>
        <w:rPr>
          <w:rFonts w:ascii="Garamond" w:hAnsi="Garamond"/>
        </w:rPr>
        <w:t xml:space="preserve"> make it relevant for what you’re interested it. If what’s really fascinating to you are the images, great: focus on those. If what you’re interested in are the footnotes, ok: work with those instead. If you want to talk about the painting on p 685 in discussion? Great, do that. Interested in the colors she talks about, in foodstuffs, in a particular quotation that you can’t shake? Awesome. Whatever </w:t>
      </w:r>
      <w:r>
        <w:rPr>
          <w:rFonts w:ascii="Garamond" w:hAnsi="Garamond"/>
          <w:i/>
          <w:iCs/>
        </w:rPr>
        <w:t>you</w:t>
      </w:r>
      <w:r>
        <w:rPr>
          <w:rFonts w:ascii="Garamond" w:hAnsi="Garamond"/>
        </w:rPr>
        <w:t xml:space="preserve"> find compelling, that’s what you should pay special attention to. </w:t>
      </w:r>
    </w:p>
    <w:p w14:paraId="4FBEBEE3" w14:textId="77777777" w:rsidR="001136C7" w:rsidRDefault="001136C7" w:rsidP="001136C7">
      <w:pPr>
        <w:rPr>
          <w:rFonts w:ascii="Garamond" w:hAnsi="Garamond"/>
          <w:smallCaps/>
          <w:u w:val="single"/>
        </w:rPr>
      </w:pPr>
    </w:p>
    <w:p w14:paraId="63ADDCBC" w14:textId="77777777" w:rsidR="001136C7" w:rsidRPr="008147D8" w:rsidRDefault="001136C7" w:rsidP="001136C7">
      <w:pPr>
        <w:rPr>
          <w:rFonts w:ascii="Garamond" w:hAnsi="Garamond"/>
          <w:smallCaps/>
          <w:u w:val="single"/>
        </w:rPr>
      </w:pPr>
      <w:r w:rsidRPr="008147D8">
        <w:rPr>
          <w:rFonts w:ascii="Garamond" w:hAnsi="Garamond"/>
          <w:smallCaps/>
          <w:u w:val="single"/>
        </w:rPr>
        <w:t>The Lectures</w:t>
      </w:r>
    </w:p>
    <w:p w14:paraId="1FFA0312" w14:textId="2F495BF8" w:rsidR="001136C7" w:rsidRDefault="001136C7" w:rsidP="001136C7">
      <w:pPr>
        <w:rPr>
          <w:rFonts w:ascii="Garamond" w:hAnsi="Garamond"/>
        </w:rPr>
      </w:pPr>
      <w:r>
        <w:rPr>
          <w:rFonts w:ascii="Garamond" w:hAnsi="Garamond"/>
        </w:rPr>
        <w:tab/>
        <w:t>1.1</w:t>
      </w:r>
      <w:r>
        <w:rPr>
          <w:rFonts w:ascii="Garamond" w:hAnsi="Garamond"/>
        </w:rPr>
        <w:tab/>
      </w:r>
      <w:r>
        <w:rPr>
          <w:rFonts w:ascii="Garamond" w:hAnsi="Garamond"/>
          <w:smallCaps/>
        </w:rPr>
        <w:t>Introductions (</w:t>
      </w:r>
      <w:r w:rsidR="00EF0864">
        <w:rPr>
          <w:rFonts w:ascii="Garamond" w:hAnsi="Garamond"/>
        </w:rPr>
        <w:t>Tuesday</w:t>
      </w:r>
      <w:r>
        <w:rPr>
          <w:rFonts w:ascii="Garamond" w:hAnsi="Garamond"/>
        </w:rPr>
        <w:t xml:space="preserve"> </w:t>
      </w:r>
      <w:r w:rsidR="00EF0864">
        <w:rPr>
          <w:rFonts w:ascii="Garamond" w:hAnsi="Garamond"/>
        </w:rPr>
        <w:t>Aug 31</w:t>
      </w:r>
      <w:r>
        <w:rPr>
          <w:rFonts w:ascii="Garamond" w:hAnsi="Garamond"/>
        </w:rPr>
        <w:t>)</w:t>
      </w:r>
    </w:p>
    <w:p w14:paraId="55549D28" w14:textId="5205C670" w:rsidR="001136C7" w:rsidRDefault="001136C7" w:rsidP="001136C7">
      <w:pPr>
        <w:rPr>
          <w:rFonts w:ascii="Garamond" w:hAnsi="Garamond"/>
        </w:rPr>
      </w:pPr>
      <w:r>
        <w:rPr>
          <w:rFonts w:ascii="Garamond" w:hAnsi="Garamond"/>
        </w:rPr>
        <w:tab/>
        <w:t xml:space="preserve">1.2 </w:t>
      </w:r>
      <w:r>
        <w:rPr>
          <w:rFonts w:ascii="Garamond" w:hAnsi="Garamond"/>
        </w:rPr>
        <w:tab/>
      </w:r>
      <w:r w:rsidRPr="00DB7712">
        <w:rPr>
          <w:rFonts w:ascii="Garamond" w:hAnsi="Garamond"/>
          <w:smallCaps/>
        </w:rPr>
        <w:t xml:space="preserve">Chocolate </w:t>
      </w:r>
      <w:r>
        <w:rPr>
          <w:rFonts w:ascii="Garamond" w:hAnsi="Garamond"/>
        </w:rPr>
        <w:t>(</w:t>
      </w:r>
      <w:r w:rsidR="00EF0864">
        <w:rPr>
          <w:rFonts w:ascii="Garamond" w:hAnsi="Garamond"/>
        </w:rPr>
        <w:t>Thursday Sept 02</w:t>
      </w:r>
      <w:r>
        <w:rPr>
          <w:rFonts w:ascii="Garamond" w:hAnsi="Garamond"/>
        </w:rPr>
        <w:t>)</w:t>
      </w:r>
    </w:p>
    <w:p w14:paraId="5B721C1C" w14:textId="77777777" w:rsidR="001136C7" w:rsidRDefault="001136C7" w:rsidP="001136C7">
      <w:pPr>
        <w:rPr>
          <w:rFonts w:ascii="Garamond" w:hAnsi="Garamond"/>
        </w:rPr>
      </w:pPr>
    </w:p>
    <w:p w14:paraId="43AD33AA" w14:textId="57F67DFD" w:rsidR="001136C7" w:rsidRPr="00D45F44" w:rsidRDefault="001136C7" w:rsidP="001136C7">
      <w:pPr>
        <w:rPr>
          <w:rFonts w:ascii="Garamond" w:hAnsi="Garamond"/>
          <w:smallCaps/>
          <w:u w:val="single"/>
        </w:rPr>
      </w:pPr>
      <w:r w:rsidRPr="008147D8">
        <w:rPr>
          <w:rFonts w:ascii="Garamond" w:hAnsi="Garamond"/>
          <w:smallCaps/>
          <w:u w:val="single"/>
        </w:rPr>
        <w:t xml:space="preserve">The </w:t>
      </w:r>
      <w:r w:rsidR="00EF0864">
        <w:rPr>
          <w:rFonts w:ascii="Garamond" w:hAnsi="Garamond"/>
          <w:smallCaps/>
          <w:u w:val="single"/>
        </w:rPr>
        <w:t>Recitation</w:t>
      </w:r>
      <w:r>
        <w:rPr>
          <w:rFonts w:ascii="Garamond" w:hAnsi="Garamond"/>
          <w:smallCaps/>
          <w:u w:val="single"/>
        </w:rPr>
        <w:t xml:space="preserve"> </w:t>
      </w:r>
      <w:r w:rsidR="00EF0864">
        <w:rPr>
          <w:rFonts w:ascii="Garamond" w:hAnsi="Garamond"/>
          <w:smallCaps/>
          <w:u w:val="single"/>
        </w:rPr>
        <w:t>Discussions</w:t>
      </w:r>
    </w:p>
    <w:p w14:paraId="66A3E443" w14:textId="580F8FF7" w:rsidR="001136C7" w:rsidRDefault="001136C7" w:rsidP="001136C7">
      <w:pPr>
        <w:rPr>
          <w:rFonts w:ascii="Garamond" w:hAnsi="Garamond"/>
        </w:rPr>
      </w:pPr>
      <w:r>
        <w:rPr>
          <w:rFonts w:ascii="Garamond" w:hAnsi="Garamond"/>
        </w:rPr>
        <w:t xml:space="preserve">To prepare for </w:t>
      </w:r>
      <w:r w:rsidR="00EF0864">
        <w:rPr>
          <w:rFonts w:ascii="Garamond" w:hAnsi="Garamond"/>
        </w:rPr>
        <w:t>recitation</w:t>
      </w:r>
      <w:r>
        <w:rPr>
          <w:rFonts w:ascii="Garamond" w:hAnsi="Garamond"/>
        </w:rPr>
        <w:t xml:space="preserve"> </w:t>
      </w:r>
      <w:r w:rsidR="00EF0864">
        <w:rPr>
          <w:rFonts w:ascii="Garamond" w:hAnsi="Garamond"/>
        </w:rPr>
        <w:t>discussions</w:t>
      </w:r>
      <w:r>
        <w:rPr>
          <w:rFonts w:ascii="Garamond" w:hAnsi="Garamond"/>
        </w:rPr>
        <w:t xml:space="preserve"> this week, please read the Norton essay along the lines described </w:t>
      </w:r>
      <w:proofErr w:type="gramStart"/>
      <w:r>
        <w:rPr>
          <w:rFonts w:ascii="Garamond" w:hAnsi="Garamond"/>
        </w:rPr>
        <w:t>above, and</w:t>
      </w:r>
      <w:proofErr w:type="gramEnd"/>
      <w:r>
        <w:rPr>
          <w:rFonts w:ascii="Garamond" w:hAnsi="Garamond"/>
        </w:rPr>
        <w:t xml:space="preserve"> keeping in mind how her essay might inform the question: What is a “drug?”. Discussion sections this week will begin with </w:t>
      </w:r>
      <w:proofErr w:type="gramStart"/>
      <w:r>
        <w:rPr>
          <w:rFonts w:ascii="Garamond" w:hAnsi="Garamond"/>
        </w:rPr>
        <w:t>introductions, and</w:t>
      </w:r>
      <w:proofErr w:type="gramEnd"/>
      <w:r>
        <w:rPr>
          <w:rFonts w:ascii="Garamond" w:hAnsi="Garamond"/>
        </w:rPr>
        <w:t xml:space="preserve"> will then transition into a conversation about Norton. Introductions might take up a good part of the discussion time, leaving not a whole lot of time to get through everything you might want to get to in the Norton, and </w:t>
      </w:r>
      <w:r w:rsidR="00EF0864">
        <w:rPr>
          <w:rFonts w:ascii="Garamond" w:hAnsi="Garamond"/>
        </w:rPr>
        <w:t xml:space="preserve">that is </w:t>
      </w:r>
      <w:r w:rsidR="00EF0864">
        <w:rPr>
          <w:rFonts w:ascii="Garamond" w:hAnsi="Garamond"/>
        </w:rPr>
        <w:lastRenderedPageBreak/>
        <w:t>completely fine</w:t>
      </w:r>
      <w:r>
        <w:rPr>
          <w:rFonts w:ascii="Garamond" w:hAnsi="Garamond"/>
        </w:rPr>
        <w:t xml:space="preserve">: this is just a beginning, and we will continue to talk about Norton in Week 2’s discussion sections, as we add another (very different) perspective on chocolate and its relatives to the mix. Stay tuned… </w:t>
      </w:r>
    </w:p>
    <w:p w14:paraId="384D9AE1" w14:textId="77777777" w:rsidR="00EF0864" w:rsidRDefault="00EF0864" w:rsidP="001136C7">
      <w:pPr>
        <w:rPr>
          <w:rFonts w:ascii="Garamond" w:hAnsi="Garamond"/>
        </w:rPr>
      </w:pPr>
    </w:p>
    <w:p w14:paraId="0B807FE7" w14:textId="77777777" w:rsidR="001136C7" w:rsidRDefault="001136C7" w:rsidP="001136C7">
      <w:pPr>
        <w:rPr>
          <w:rFonts w:ascii="Garamond" w:hAnsi="Garamond"/>
          <w:smallCaps/>
          <w:u w:val="single"/>
        </w:rPr>
      </w:pPr>
      <w:r>
        <w:rPr>
          <w:rFonts w:ascii="Garamond" w:hAnsi="Garamond"/>
          <w:smallCaps/>
          <w:u w:val="single"/>
        </w:rPr>
        <w:t xml:space="preserve">The Written Assignment: Self Introduction and Reflection I </w:t>
      </w:r>
    </w:p>
    <w:p w14:paraId="5BB772BE" w14:textId="4ECBDCB7" w:rsidR="001136C7" w:rsidRDefault="001136C7" w:rsidP="001136C7">
      <w:pPr>
        <w:rPr>
          <w:rFonts w:ascii="Garamond" w:hAnsi="Garamond"/>
        </w:rPr>
      </w:pPr>
      <w:r>
        <w:rPr>
          <w:rFonts w:ascii="Garamond" w:hAnsi="Garamond"/>
        </w:rPr>
        <w:t xml:space="preserve">This first week, I’m asking you not to write about the reading, but instead about yourself. Please write your </w:t>
      </w:r>
      <w:proofErr w:type="gramStart"/>
      <w:r>
        <w:rPr>
          <w:rFonts w:ascii="Garamond" w:hAnsi="Garamond"/>
        </w:rPr>
        <w:t xml:space="preserve">first </w:t>
      </w:r>
      <w:proofErr w:type="spellStart"/>
      <w:r>
        <w:rPr>
          <w:rFonts w:ascii="Garamond" w:hAnsi="Garamond"/>
        </w:rPr>
        <w:t>self</w:t>
      </w:r>
      <w:proofErr w:type="gramEnd"/>
      <w:r>
        <w:rPr>
          <w:rFonts w:ascii="Garamond" w:hAnsi="Garamond"/>
        </w:rPr>
        <w:t xml:space="preserve"> reflection</w:t>
      </w:r>
      <w:proofErr w:type="spellEnd"/>
      <w:r>
        <w:rPr>
          <w:rFonts w:ascii="Garamond" w:hAnsi="Garamond"/>
        </w:rPr>
        <w:t xml:space="preserve"> of the semester, an introduction that helps me to get to know you and your interests and goals for the class. Please email this directly to me at </w:t>
      </w:r>
      <w:hyperlink r:id="rId11" w:history="1">
        <w:r w:rsidRPr="00556FCB">
          <w:rPr>
            <w:rStyle w:val="Hyperlink"/>
            <w:rFonts w:ascii="Garamond" w:hAnsi="Garamond"/>
          </w:rPr>
          <w:t>nappi@pitt.edu</w:t>
        </w:r>
      </w:hyperlink>
      <w:r>
        <w:rPr>
          <w:rFonts w:ascii="Garamond" w:hAnsi="Garamond"/>
        </w:rPr>
        <w:t xml:space="preserve"> </w:t>
      </w:r>
      <w:r>
        <w:rPr>
          <w:rFonts w:ascii="Garamond" w:hAnsi="Garamond"/>
          <w:b/>
        </w:rPr>
        <w:t>b</w:t>
      </w:r>
      <w:r w:rsidRPr="0004399B">
        <w:rPr>
          <w:rFonts w:ascii="Garamond" w:hAnsi="Garamond"/>
          <w:b/>
        </w:rPr>
        <w:t xml:space="preserve">y Friday </w:t>
      </w:r>
      <w:r w:rsidR="00EF0864">
        <w:rPr>
          <w:rFonts w:ascii="Garamond" w:hAnsi="Garamond"/>
          <w:b/>
        </w:rPr>
        <w:t>September 3</w:t>
      </w:r>
      <w:r w:rsidRPr="0004399B">
        <w:rPr>
          <w:rFonts w:ascii="Garamond" w:hAnsi="Garamond"/>
          <w:b/>
        </w:rPr>
        <w:t xml:space="preserve"> at </w:t>
      </w:r>
      <w:r w:rsidR="00EF0864">
        <w:rPr>
          <w:rFonts w:ascii="Garamond" w:hAnsi="Garamond"/>
          <w:b/>
        </w:rPr>
        <w:t>4</w:t>
      </w:r>
      <w:r w:rsidRPr="0004399B">
        <w:rPr>
          <w:rFonts w:ascii="Garamond" w:hAnsi="Garamond"/>
          <w:b/>
        </w:rPr>
        <w:t xml:space="preserve"> pm</w:t>
      </w:r>
      <w:r>
        <w:rPr>
          <w:rFonts w:ascii="Garamond" w:hAnsi="Garamond"/>
        </w:rPr>
        <w:t>.</w:t>
      </w:r>
    </w:p>
    <w:p w14:paraId="27B9DB36" w14:textId="5F25CF06" w:rsidR="001136C7" w:rsidRPr="00416F3B" w:rsidRDefault="001136C7" w:rsidP="001136C7">
      <w:pPr>
        <w:rPr>
          <w:rFonts w:ascii="Garamond" w:hAnsi="Garamond"/>
        </w:rPr>
      </w:pPr>
      <w:r>
        <w:rPr>
          <w:rFonts w:ascii="Garamond" w:hAnsi="Garamond"/>
        </w:rPr>
        <w:tab/>
        <w:t xml:space="preserve">This is the first of three self-reflections that you will write over the course of the semester. Include your thoughts about the following: </w:t>
      </w:r>
      <w:r w:rsidRPr="007F7DDB">
        <w:rPr>
          <w:rFonts w:ascii="Garamond" w:hAnsi="Garamond"/>
        </w:rPr>
        <w:t xml:space="preserve">What would you like me to understand about you, </w:t>
      </w:r>
      <w:r>
        <w:rPr>
          <w:rFonts w:ascii="Garamond" w:hAnsi="Garamond"/>
        </w:rPr>
        <w:t xml:space="preserve">as a human, </w:t>
      </w:r>
      <w:r w:rsidRPr="007F7DDB">
        <w:rPr>
          <w:rFonts w:ascii="Garamond" w:hAnsi="Garamond"/>
        </w:rPr>
        <w:t xml:space="preserve">here at the beginning of the term? </w:t>
      </w:r>
      <w:r w:rsidRPr="00416F3B">
        <w:rPr>
          <w:rFonts w:ascii="Garamond" w:hAnsi="Garamond"/>
        </w:rPr>
        <w:t xml:space="preserve">What are you particularly excited about or interested in, in the context of the class? What about beyond the class? (The latter helps me to know what </w:t>
      </w:r>
      <w:proofErr w:type="gramStart"/>
      <w:r w:rsidRPr="00416F3B">
        <w:rPr>
          <w:rFonts w:ascii="Garamond" w:hAnsi="Garamond"/>
        </w:rPr>
        <w:t>sorts</w:t>
      </w:r>
      <w:proofErr w:type="gramEnd"/>
      <w:r w:rsidRPr="00416F3B">
        <w:rPr>
          <w:rFonts w:ascii="Garamond" w:hAnsi="Garamond"/>
        </w:rPr>
        <w:t xml:space="preserve"> of course materials, when I have an option, that I might make available to you so that it articulates with your broader interests.)</w:t>
      </w:r>
      <w:r>
        <w:rPr>
          <w:rFonts w:ascii="Garamond" w:hAnsi="Garamond"/>
        </w:rPr>
        <w:t xml:space="preserve"> </w:t>
      </w:r>
      <w:r w:rsidRPr="00416F3B">
        <w:rPr>
          <w:rFonts w:ascii="Garamond" w:hAnsi="Garamond"/>
        </w:rPr>
        <w:t xml:space="preserve">What are your goals for the </w:t>
      </w:r>
      <w:r>
        <w:rPr>
          <w:rFonts w:ascii="Garamond" w:hAnsi="Garamond"/>
        </w:rPr>
        <w:t>course</w:t>
      </w:r>
      <w:r w:rsidRPr="00416F3B">
        <w:rPr>
          <w:rFonts w:ascii="Garamond" w:hAnsi="Garamond"/>
        </w:rPr>
        <w:t xml:space="preserve"> and where do you want to be</w:t>
      </w:r>
      <w:r w:rsidR="002652D4">
        <w:rPr>
          <w:rFonts w:ascii="Garamond" w:hAnsi="Garamond"/>
        </w:rPr>
        <w:t>, with respect to those goals,</w:t>
      </w:r>
      <w:r w:rsidRPr="00416F3B">
        <w:rPr>
          <w:rFonts w:ascii="Garamond" w:hAnsi="Garamond"/>
        </w:rPr>
        <w:t xml:space="preserve"> by the end of the term? What do you anticipate will be particularly challenging for you? </w:t>
      </w:r>
      <w:r>
        <w:rPr>
          <w:rFonts w:ascii="Garamond" w:hAnsi="Garamond"/>
        </w:rPr>
        <w:t>Are there particular skills that you’d like to work on, and i</w:t>
      </w:r>
      <w:r w:rsidRPr="00416F3B">
        <w:rPr>
          <w:rFonts w:ascii="Garamond" w:hAnsi="Garamond"/>
        </w:rPr>
        <w:t xml:space="preserve">s there anything you’d especially like help with, this term, whether that’s writing or class participation or really anything else? </w:t>
      </w:r>
    </w:p>
    <w:p w14:paraId="201B6795" w14:textId="7AC93B53" w:rsidR="001136C7" w:rsidRDefault="001136C7" w:rsidP="001136C7">
      <w:pPr>
        <w:rPr>
          <w:rFonts w:ascii="Garamond" w:hAnsi="Garamond"/>
        </w:rPr>
      </w:pPr>
      <w:r>
        <w:rPr>
          <w:rFonts w:ascii="Garamond" w:hAnsi="Garamond"/>
        </w:rPr>
        <w:tab/>
        <w:t xml:space="preserve">*Please remember that your </w:t>
      </w:r>
      <w:proofErr w:type="spellStart"/>
      <w:r>
        <w:rPr>
          <w:rFonts w:ascii="Garamond" w:hAnsi="Garamond"/>
        </w:rPr>
        <w:t>thinkpiece</w:t>
      </w:r>
      <w:proofErr w:type="spellEnd"/>
      <w:r>
        <w:rPr>
          <w:rFonts w:ascii="Garamond" w:hAnsi="Garamond"/>
        </w:rPr>
        <w:t xml:space="preserve"> for Week 2 will be due next Wednesday (</w:t>
      </w:r>
      <w:r w:rsidR="00EF0864">
        <w:rPr>
          <w:rFonts w:ascii="Garamond" w:hAnsi="Garamond"/>
        </w:rPr>
        <w:t>Sept 8</w:t>
      </w:r>
      <w:r>
        <w:rPr>
          <w:rFonts w:ascii="Garamond" w:hAnsi="Garamond"/>
        </w:rPr>
        <w:t xml:space="preserve">) at </w:t>
      </w:r>
      <w:r w:rsidR="00EF0864">
        <w:rPr>
          <w:rFonts w:ascii="Garamond" w:hAnsi="Garamond"/>
        </w:rPr>
        <w:t>1</w:t>
      </w:r>
      <w:r>
        <w:rPr>
          <w:rFonts w:ascii="Garamond" w:hAnsi="Garamond"/>
        </w:rPr>
        <w:t xml:space="preserve"> </w:t>
      </w:r>
      <w:r w:rsidR="00EF0864">
        <w:rPr>
          <w:rFonts w:ascii="Garamond" w:hAnsi="Garamond"/>
        </w:rPr>
        <w:t>P</w:t>
      </w:r>
      <w:r>
        <w:rPr>
          <w:rFonts w:ascii="Garamond" w:hAnsi="Garamond"/>
        </w:rPr>
        <w:t xml:space="preserve">M, posted to the </w:t>
      </w:r>
      <w:r w:rsidR="00EF0864">
        <w:rPr>
          <w:rFonts w:ascii="Garamond" w:hAnsi="Garamond"/>
        </w:rPr>
        <w:t>Canvas</w:t>
      </w:r>
      <w:r>
        <w:rPr>
          <w:rFonts w:ascii="Garamond" w:hAnsi="Garamond"/>
        </w:rPr>
        <w:t xml:space="preserve"> site. I recommend getting started on that over the weekend</w:t>
      </w:r>
      <w:r w:rsidR="00EE7317">
        <w:rPr>
          <w:rFonts w:ascii="Garamond" w:hAnsi="Garamond"/>
        </w:rPr>
        <w:t>, after you have a chance to read the Week 2 Guide,</w:t>
      </w:r>
      <w:r>
        <w:rPr>
          <w:rFonts w:ascii="Garamond" w:hAnsi="Garamond"/>
        </w:rPr>
        <w:t xml:space="preserve"> so that it’s not a big rush for you next week. </w:t>
      </w:r>
    </w:p>
    <w:p w14:paraId="5661851C" w14:textId="77777777" w:rsidR="001136C7" w:rsidRDefault="001136C7" w:rsidP="001136C7">
      <w:pPr>
        <w:rPr>
          <w:rFonts w:ascii="Garamond" w:hAnsi="Garamond"/>
        </w:rPr>
      </w:pPr>
    </w:p>
    <w:p w14:paraId="2D0EAF54" w14:textId="223012BA" w:rsidR="00F519BD" w:rsidRDefault="00CD6D6B">
      <w:pPr>
        <w:rPr>
          <w:rFonts w:ascii="Garamond" w:hAnsi="Garamond"/>
          <w:smallCaps/>
          <w:u w:val="single"/>
        </w:rPr>
      </w:pPr>
      <w:r>
        <w:rPr>
          <w:rFonts w:ascii="Garamond" w:hAnsi="Garamond"/>
          <w:smallCaps/>
          <w:u w:val="single"/>
        </w:rPr>
        <w:t>Carla’s Coronavirus Corner</w:t>
      </w:r>
      <w:r w:rsidR="006749DC">
        <w:rPr>
          <w:rFonts w:ascii="Garamond" w:hAnsi="Garamond"/>
          <w:smallCaps/>
          <w:u w:val="single"/>
        </w:rPr>
        <w:t>: Critical reading, COVID-19 treatment</w:t>
      </w:r>
      <w:r w:rsidR="00D65CBF">
        <w:rPr>
          <w:rFonts w:ascii="Garamond" w:hAnsi="Garamond"/>
          <w:smallCaps/>
          <w:u w:val="single"/>
        </w:rPr>
        <w:t>s</w:t>
      </w:r>
      <w:r w:rsidR="006749DC">
        <w:rPr>
          <w:rFonts w:ascii="Garamond" w:hAnsi="Garamond"/>
          <w:smallCaps/>
          <w:u w:val="single"/>
        </w:rPr>
        <w:t>, and “drugs”</w:t>
      </w:r>
    </w:p>
    <w:p w14:paraId="66CC9982" w14:textId="4EF59CE5" w:rsidR="00CD6D6B" w:rsidRDefault="00A22C8F">
      <w:pPr>
        <w:rPr>
          <w:rFonts w:ascii="Garamond" w:hAnsi="Garamond"/>
        </w:rPr>
      </w:pPr>
      <w:r>
        <w:rPr>
          <w:rFonts w:ascii="Garamond" w:hAnsi="Garamond"/>
        </w:rPr>
        <w:t xml:space="preserve">This semester, I’m going to try whenever possible to link our concerns in the class to the wider COVID context we’re living in. You’re going to find that our course covers a LOT of material, questions, and themes that are going to be of relevance in thinking through these COVID times. </w:t>
      </w:r>
      <w:r w:rsidR="006749DC">
        <w:rPr>
          <w:rFonts w:ascii="Garamond" w:hAnsi="Garamond"/>
        </w:rPr>
        <w:t xml:space="preserve">My hope is that the critical and historical context that you glean from this course will help you be an informed reader of the wider social text that we live </w:t>
      </w:r>
      <w:r w:rsidR="009F79BF">
        <w:rPr>
          <w:rFonts w:ascii="Garamond" w:hAnsi="Garamond"/>
        </w:rPr>
        <w:t xml:space="preserve">and move </w:t>
      </w:r>
      <w:r w:rsidR="006749DC">
        <w:rPr>
          <w:rFonts w:ascii="Garamond" w:hAnsi="Garamond"/>
        </w:rPr>
        <w:t xml:space="preserve">in, including with respect to the pandemic. </w:t>
      </w:r>
      <w:r>
        <w:rPr>
          <w:rFonts w:ascii="Garamond" w:hAnsi="Garamond"/>
        </w:rPr>
        <w:t xml:space="preserve">For this first week, I’ll keep it brief because you’ve got a lot to </w:t>
      </w:r>
      <w:r w:rsidR="009F79BF">
        <w:rPr>
          <w:rFonts w:ascii="Garamond" w:hAnsi="Garamond"/>
        </w:rPr>
        <w:t>read</w:t>
      </w:r>
      <w:r>
        <w:rPr>
          <w:rFonts w:ascii="Garamond" w:hAnsi="Garamond"/>
        </w:rPr>
        <w:t xml:space="preserve"> already. </w:t>
      </w:r>
      <w:r w:rsidRPr="00A22C8F">
        <w:rPr>
          <w:rFonts w:ascii="Garamond" w:hAnsi="Garamond"/>
        </w:rPr>
        <w:sym w:font="Wingdings" w:char="F04A"/>
      </w:r>
      <w:r>
        <w:rPr>
          <w:rFonts w:ascii="Garamond" w:hAnsi="Garamond"/>
        </w:rPr>
        <w:t xml:space="preserve"> In future weeks I might sometimes do a little fireside podcast chat for you instead of a paragraph here. But for now…</w:t>
      </w:r>
    </w:p>
    <w:p w14:paraId="1DE0C90E" w14:textId="48D718C3" w:rsidR="00A22C8F" w:rsidRDefault="00A22C8F">
      <w:r>
        <w:rPr>
          <w:rFonts w:ascii="Garamond" w:hAnsi="Garamond"/>
        </w:rPr>
        <w:tab/>
        <w:t xml:space="preserve">This week, in introducing the course I’m asking you to start thinking about </w:t>
      </w:r>
      <w:r w:rsidR="006749DC">
        <w:rPr>
          <w:rFonts w:ascii="Garamond" w:hAnsi="Garamond"/>
        </w:rPr>
        <w:t>a question that will be with us for the rest of the term: when we’re thinking about “drugs,” what is it that we’re thinking about</w:t>
      </w:r>
      <w:r w:rsidR="009F79BF">
        <w:rPr>
          <w:rFonts w:ascii="Garamond" w:hAnsi="Garamond"/>
        </w:rPr>
        <w:t>, exactly</w:t>
      </w:r>
      <w:r w:rsidR="006749DC">
        <w:rPr>
          <w:rFonts w:ascii="Garamond" w:hAnsi="Garamond"/>
        </w:rPr>
        <w:t>?</w:t>
      </w:r>
      <w:r w:rsidR="009F79BF">
        <w:rPr>
          <w:rFonts w:ascii="Garamond" w:hAnsi="Garamond"/>
        </w:rPr>
        <w:t xml:space="preserve"> What falls under that category?</w:t>
      </w:r>
      <w:r w:rsidR="006749DC">
        <w:rPr>
          <w:rFonts w:ascii="Garamond" w:hAnsi="Garamond"/>
        </w:rPr>
        <w:t xml:space="preserve"> What qualities and contexts do we assume or look for when we look for a “drug,” whether that drug is therapeutic, recreational, illicit, or any combination of the above? What makes something a “drug” at a particular place or time (and not, perhaps, at others), and what are the consequences? In thinking about </w:t>
      </w:r>
      <w:r w:rsidR="009F79BF">
        <w:rPr>
          <w:rFonts w:ascii="Garamond" w:hAnsi="Garamond"/>
        </w:rPr>
        <w:t>these</w:t>
      </w:r>
      <w:r w:rsidR="006749DC">
        <w:rPr>
          <w:rFonts w:ascii="Garamond" w:hAnsi="Garamond"/>
        </w:rPr>
        <w:t xml:space="preserve"> question</w:t>
      </w:r>
      <w:r w:rsidR="009F79BF">
        <w:rPr>
          <w:rFonts w:ascii="Garamond" w:hAnsi="Garamond"/>
        </w:rPr>
        <w:t>s</w:t>
      </w:r>
      <w:r w:rsidR="006749DC">
        <w:rPr>
          <w:rFonts w:ascii="Garamond" w:hAnsi="Garamond"/>
        </w:rPr>
        <w:t xml:space="preserve">, I’m thinking about the ongoing cultural conversation, over the past year, about the various drugs (above and beyond vaccines) that </w:t>
      </w:r>
      <w:r w:rsidR="00A701A9">
        <w:rPr>
          <w:rFonts w:ascii="Garamond" w:hAnsi="Garamond"/>
        </w:rPr>
        <w:t>have been</w:t>
      </w:r>
      <w:r w:rsidR="006749DC">
        <w:rPr>
          <w:rFonts w:ascii="Garamond" w:hAnsi="Garamond"/>
        </w:rPr>
        <w:t xml:space="preserve"> invoked in conversations about how to treat COVID-19. We have seen everything from official guidance on treatment options from the </w:t>
      </w:r>
      <w:hyperlink r:id="rId12" w:history="1">
        <w:r w:rsidR="006749DC" w:rsidRPr="006749DC">
          <w:rPr>
            <w:rStyle w:val="Hyperlink"/>
            <w:rFonts w:ascii="Garamond" w:hAnsi="Garamond"/>
          </w:rPr>
          <w:t>FDA</w:t>
        </w:r>
      </w:hyperlink>
      <w:r w:rsidR="006749DC">
        <w:rPr>
          <w:rFonts w:ascii="Garamond" w:hAnsi="Garamond"/>
        </w:rPr>
        <w:t xml:space="preserve"> and the </w:t>
      </w:r>
      <w:hyperlink r:id="rId13" w:history="1">
        <w:r w:rsidR="006749DC" w:rsidRPr="006749DC">
          <w:rPr>
            <w:rStyle w:val="Hyperlink"/>
            <w:rFonts w:ascii="Garamond" w:hAnsi="Garamond"/>
          </w:rPr>
          <w:t>NIH</w:t>
        </w:r>
      </w:hyperlink>
      <w:r w:rsidR="006749DC">
        <w:rPr>
          <w:rFonts w:ascii="Garamond" w:hAnsi="Garamond"/>
        </w:rPr>
        <w:t xml:space="preserve">, to news stories about other substances (some involving horses or bleach) being touted as curative on social media sites. </w:t>
      </w:r>
      <w:r w:rsidR="00A701A9">
        <w:rPr>
          <w:rFonts w:ascii="Garamond" w:hAnsi="Garamond"/>
        </w:rPr>
        <w:t xml:space="preserve">As you encounter these conversations in the wild (outside of class), you might bring our History 1706 knowledge to bear on looking critically at the context in which claims about COVID drugs are being made, and how your critical thinking about the history of drugs might help you to “read” that context. Just as chocolate has moved from one context (where it was considered a powerful medicinal drug) to another (where you can buy it in a candy store), how might we </w:t>
      </w:r>
      <w:r w:rsidR="00A701A9">
        <w:rPr>
          <w:rFonts w:ascii="Garamond" w:hAnsi="Garamond"/>
        </w:rPr>
        <w:lastRenderedPageBreak/>
        <w:t xml:space="preserve">understand that same kind of transformation when we look at substances used </w:t>
      </w:r>
      <w:r w:rsidR="00054183">
        <w:rPr>
          <w:rFonts w:ascii="Garamond" w:hAnsi="Garamond"/>
        </w:rPr>
        <w:t>for various purposes</w:t>
      </w:r>
      <w:r w:rsidR="00A701A9">
        <w:rPr>
          <w:rFonts w:ascii="Garamond" w:hAnsi="Garamond"/>
        </w:rPr>
        <w:t xml:space="preserve"> being moved over into the COVID context? What does the nature of those movements tell you about how to think about and critically understand how we come to make or believe claims about potential “cures”? </w:t>
      </w:r>
      <w:r w:rsidR="00054183">
        <w:rPr>
          <w:rFonts w:ascii="Garamond" w:hAnsi="Garamond"/>
        </w:rPr>
        <w:t>You’re going to find, as we move through the course, that the answer isn’t so simple: I’ll remind you of this when we talk about modern pharmacy and the history of off-label prescription. For now, i</w:t>
      </w:r>
      <w:r w:rsidR="00A701A9">
        <w:rPr>
          <w:rFonts w:ascii="Garamond" w:hAnsi="Garamond"/>
        </w:rPr>
        <w:t>t’s still just the first week of classes, and we’re just getting started, but I’m offering this here to give you an idea of h</w:t>
      </w:r>
      <w:proofErr w:type="spellStart"/>
      <w:r w:rsidR="00A701A9">
        <w:rPr>
          <w:rFonts w:ascii="Garamond" w:hAnsi="Garamond"/>
        </w:rPr>
        <w:t>ow</w:t>
      </w:r>
      <w:proofErr w:type="spellEnd"/>
      <w:r w:rsidR="00A701A9">
        <w:rPr>
          <w:rFonts w:ascii="Garamond" w:hAnsi="Garamond"/>
        </w:rPr>
        <w:t xml:space="preserve"> we might relate the course to our wider current circumstances. Happy reading/thinking/chatting! - Carla</w:t>
      </w:r>
    </w:p>
    <w:sectPr w:rsidR="00A22C8F">
      <w:headerReference w:type="even" r:id="rId14"/>
      <w:headerReference w:type="default" r:id="rId15"/>
      <w:footerReference w:type="even" r:id="rId16"/>
      <w:footerReference w:type="default" r:id="rId17"/>
      <w:headerReference w:type="first" r:id="rId18"/>
      <w:footerReference w:type="firs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B41A956" w14:textId="77777777" w:rsidR="00B03834" w:rsidRDefault="00B03834" w:rsidP="001136C7">
      <w:r>
        <w:separator/>
      </w:r>
    </w:p>
  </w:endnote>
  <w:endnote w:type="continuationSeparator" w:id="0">
    <w:p w14:paraId="1161FC69" w14:textId="77777777" w:rsidR="00B03834" w:rsidRDefault="00B03834" w:rsidP="001136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Garamond">
    <w:panose1 w:val="02020404030301010803"/>
    <w:charset w:val="00"/>
    <w:family w:val="roman"/>
    <w:pitch w:val="variable"/>
    <w:sig w:usb0="00000287" w:usb1="00000002" w:usb2="00000000" w:usb3="00000000" w:csb0="000000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2078089599"/>
      <w:docPartObj>
        <w:docPartGallery w:val="Page Numbers (Bottom of Page)"/>
        <w:docPartUnique/>
      </w:docPartObj>
    </w:sdtPr>
    <w:sdtContent>
      <w:p w14:paraId="6D968BA5" w14:textId="72443695" w:rsidR="00FD0A8A" w:rsidRDefault="00FD0A8A" w:rsidP="00472C0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2901C33" w14:textId="77777777" w:rsidR="00FD0A8A" w:rsidRDefault="00FD0A8A" w:rsidP="00FD0A8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Fonts w:ascii="Garamond" w:hAnsi="Garamond"/>
        <w:sz w:val="22"/>
        <w:szCs w:val="22"/>
      </w:rPr>
      <w:id w:val="1431692082"/>
      <w:docPartObj>
        <w:docPartGallery w:val="Page Numbers (Bottom of Page)"/>
        <w:docPartUnique/>
      </w:docPartObj>
    </w:sdtPr>
    <w:sdtContent>
      <w:p w14:paraId="7D65563B" w14:textId="33607CE2" w:rsidR="00FD0A8A" w:rsidRPr="00FD0A8A" w:rsidRDefault="00FD0A8A" w:rsidP="00472C0B">
        <w:pPr>
          <w:pStyle w:val="Footer"/>
          <w:framePr w:wrap="none" w:vAnchor="text" w:hAnchor="margin" w:xAlign="right" w:y="1"/>
          <w:rPr>
            <w:rStyle w:val="PageNumber"/>
            <w:rFonts w:ascii="Garamond" w:hAnsi="Garamond"/>
            <w:sz w:val="22"/>
            <w:szCs w:val="22"/>
          </w:rPr>
        </w:pPr>
        <w:r w:rsidRPr="00FD0A8A">
          <w:rPr>
            <w:rStyle w:val="PageNumber"/>
            <w:rFonts w:ascii="Garamond" w:hAnsi="Garamond"/>
            <w:sz w:val="22"/>
            <w:szCs w:val="22"/>
          </w:rPr>
          <w:fldChar w:fldCharType="begin"/>
        </w:r>
        <w:r w:rsidRPr="00FD0A8A">
          <w:rPr>
            <w:rStyle w:val="PageNumber"/>
            <w:rFonts w:ascii="Garamond" w:hAnsi="Garamond"/>
            <w:sz w:val="22"/>
            <w:szCs w:val="22"/>
          </w:rPr>
          <w:instrText xml:space="preserve"> PAGE </w:instrText>
        </w:r>
        <w:r w:rsidRPr="00FD0A8A">
          <w:rPr>
            <w:rStyle w:val="PageNumber"/>
            <w:rFonts w:ascii="Garamond" w:hAnsi="Garamond"/>
            <w:sz w:val="22"/>
            <w:szCs w:val="22"/>
          </w:rPr>
          <w:fldChar w:fldCharType="separate"/>
        </w:r>
        <w:r w:rsidRPr="00FD0A8A">
          <w:rPr>
            <w:rStyle w:val="PageNumber"/>
            <w:rFonts w:ascii="Garamond" w:hAnsi="Garamond"/>
            <w:noProof/>
            <w:sz w:val="22"/>
            <w:szCs w:val="22"/>
          </w:rPr>
          <w:t>1</w:t>
        </w:r>
        <w:r w:rsidRPr="00FD0A8A">
          <w:rPr>
            <w:rStyle w:val="PageNumber"/>
            <w:rFonts w:ascii="Garamond" w:hAnsi="Garamond"/>
            <w:sz w:val="22"/>
            <w:szCs w:val="22"/>
          </w:rPr>
          <w:fldChar w:fldCharType="end"/>
        </w:r>
      </w:p>
    </w:sdtContent>
  </w:sdt>
  <w:p w14:paraId="6BA03D87" w14:textId="77777777" w:rsidR="00FD0A8A" w:rsidRPr="00FD0A8A" w:rsidRDefault="00FD0A8A" w:rsidP="00FD0A8A">
    <w:pPr>
      <w:pStyle w:val="Footer"/>
      <w:ind w:right="360"/>
      <w:rPr>
        <w:rFonts w:ascii="Garamond" w:hAnsi="Garamond"/>
        <w:sz w:val="22"/>
        <w:szCs w:val="2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C73D01" w14:textId="77777777" w:rsidR="00712C9E" w:rsidRDefault="00712C9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843A482" w14:textId="77777777" w:rsidR="00B03834" w:rsidRDefault="00B03834" w:rsidP="001136C7">
      <w:r>
        <w:separator/>
      </w:r>
    </w:p>
  </w:footnote>
  <w:footnote w:type="continuationSeparator" w:id="0">
    <w:p w14:paraId="6CF4F353" w14:textId="77777777" w:rsidR="00B03834" w:rsidRDefault="00B03834" w:rsidP="001136C7">
      <w:r>
        <w:continuationSeparator/>
      </w:r>
    </w:p>
  </w:footnote>
  <w:footnote w:id="1">
    <w:p w14:paraId="763C7609" w14:textId="77777777" w:rsidR="001136C7" w:rsidRPr="009C757A" w:rsidRDefault="001136C7" w:rsidP="001136C7">
      <w:pPr>
        <w:pStyle w:val="FootnoteText"/>
        <w:rPr>
          <w:rFonts w:ascii="Garamond" w:hAnsi="Garamond"/>
          <w:sz w:val="20"/>
        </w:rPr>
      </w:pPr>
      <w:r w:rsidRPr="009C757A">
        <w:rPr>
          <w:rStyle w:val="FootnoteReference"/>
          <w:rFonts w:ascii="Garamond" w:hAnsi="Garamond"/>
          <w:sz w:val="20"/>
        </w:rPr>
        <w:footnoteRef/>
      </w:r>
      <w:r w:rsidRPr="009C757A">
        <w:rPr>
          <w:rFonts w:ascii="Garamond" w:hAnsi="Garamond"/>
          <w:sz w:val="20"/>
        </w:rPr>
        <w:t xml:space="preserve"> Don’t worry if you don’t recognize these phrases: we’ll talk about what “early modern” and “Atlantic World” mean.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83D07C" w14:textId="77777777" w:rsidR="00712C9E" w:rsidRDefault="00712C9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40CFEE" w14:textId="227C1007" w:rsidR="001136C7" w:rsidRPr="001136C7" w:rsidRDefault="001136C7">
    <w:pPr>
      <w:pStyle w:val="Header"/>
      <w:rPr>
        <w:rFonts w:ascii="Garamond" w:hAnsi="Garamond"/>
        <w:sz w:val="22"/>
        <w:szCs w:val="22"/>
      </w:rPr>
    </w:pPr>
    <w:r w:rsidRPr="001136C7">
      <w:rPr>
        <w:rFonts w:ascii="Garamond" w:hAnsi="Garamond"/>
        <w:sz w:val="22"/>
        <w:szCs w:val="22"/>
      </w:rPr>
      <w:t>History 1706 Week</w:t>
    </w:r>
    <w:r>
      <w:rPr>
        <w:rFonts w:ascii="Garamond" w:hAnsi="Garamond"/>
        <w:sz w:val="22"/>
        <w:szCs w:val="22"/>
      </w:rPr>
      <w:t xml:space="preserve"> 1</w:t>
    </w:r>
    <w:r w:rsidRPr="001136C7">
      <w:rPr>
        <w:rFonts w:ascii="Garamond" w:hAnsi="Garamond"/>
        <w:sz w:val="22"/>
        <w:szCs w:val="22"/>
      </w:rPr>
      <w:t xml:space="preserve"> </w:t>
    </w:r>
    <w:r w:rsidRPr="001136C7">
      <w:rPr>
        <w:rFonts w:ascii="Garamond" w:hAnsi="Garamond"/>
        <w:sz w:val="22"/>
        <w:szCs w:val="22"/>
      </w:rPr>
      <w:t>Guide</w:t>
    </w:r>
    <w:r w:rsidRPr="001136C7">
      <w:rPr>
        <w:rFonts w:ascii="Garamond" w:hAnsi="Garamond"/>
        <w:sz w:val="22"/>
        <w:szCs w:val="22"/>
      </w:rPr>
      <w:tab/>
    </w:r>
    <w:r w:rsidRPr="001136C7">
      <w:rPr>
        <w:rFonts w:ascii="Garamond" w:hAnsi="Garamond"/>
        <w:sz w:val="22"/>
        <w:szCs w:val="22"/>
      </w:rPr>
      <w:tab/>
      <w:t>Fall 2021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0AA701" w14:textId="77777777" w:rsidR="00712C9E" w:rsidRDefault="00712C9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9F6516"/>
    <w:multiLevelType w:val="multilevel"/>
    <w:tmpl w:val="7910E2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8F839F8"/>
    <w:multiLevelType w:val="hybridMultilevel"/>
    <w:tmpl w:val="731EDD80"/>
    <w:lvl w:ilvl="0" w:tplc="AD1823E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41505A9B"/>
    <w:multiLevelType w:val="hybridMultilevel"/>
    <w:tmpl w:val="F6F84CF8"/>
    <w:lvl w:ilvl="0" w:tplc="12C67C60">
      <w:start w:val="1"/>
      <w:numFmt w:val="upperRoman"/>
      <w:lvlText w:val="%1."/>
      <w:lvlJc w:val="left"/>
      <w:pPr>
        <w:ind w:left="1800" w:hanging="720"/>
      </w:pPr>
      <w:rPr>
        <w:rFonts w:hint="default"/>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4"/>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19BD"/>
    <w:rsid w:val="00054183"/>
    <w:rsid w:val="000D3ED3"/>
    <w:rsid w:val="001136C7"/>
    <w:rsid w:val="001973A6"/>
    <w:rsid w:val="001B2A80"/>
    <w:rsid w:val="00261159"/>
    <w:rsid w:val="002652D4"/>
    <w:rsid w:val="00274494"/>
    <w:rsid w:val="00352F6F"/>
    <w:rsid w:val="00402291"/>
    <w:rsid w:val="004631E6"/>
    <w:rsid w:val="004943DC"/>
    <w:rsid w:val="00652EE4"/>
    <w:rsid w:val="006749DC"/>
    <w:rsid w:val="00712C9E"/>
    <w:rsid w:val="00927329"/>
    <w:rsid w:val="009F79BF"/>
    <w:rsid w:val="00A22C8F"/>
    <w:rsid w:val="00A701A9"/>
    <w:rsid w:val="00B03834"/>
    <w:rsid w:val="00B53FDF"/>
    <w:rsid w:val="00CD6D6B"/>
    <w:rsid w:val="00D65CBF"/>
    <w:rsid w:val="00D94FAE"/>
    <w:rsid w:val="00EB53CC"/>
    <w:rsid w:val="00EE7317"/>
    <w:rsid w:val="00EF0864"/>
    <w:rsid w:val="00F519BD"/>
    <w:rsid w:val="00FD0A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02D50A2F"/>
  <w15:chartTrackingRefBased/>
  <w15:docId w15:val="{D0E34C66-CB2A-CF44-9A3C-E80A8BB0D5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36C7"/>
    <w:rPr>
      <w:rFonts w:eastAsiaTheme="minorHAnsi"/>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136C7"/>
    <w:pPr>
      <w:ind w:left="720"/>
      <w:contextualSpacing/>
    </w:pPr>
  </w:style>
  <w:style w:type="paragraph" w:styleId="FootnoteText">
    <w:name w:val="footnote text"/>
    <w:basedOn w:val="Normal"/>
    <w:link w:val="FootnoteTextChar"/>
    <w:uiPriority w:val="99"/>
    <w:unhideWhenUsed/>
    <w:rsid w:val="001136C7"/>
  </w:style>
  <w:style w:type="character" w:customStyle="1" w:styleId="FootnoteTextChar">
    <w:name w:val="Footnote Text Char"/>
    <w:basedOn w:val="DefaultParagraphFont"/>
    <w:link w:val="FootnoteText"/>
    <w:uiPriority w:val="99"/>
    <w:rsid w:val="001136C7"/>
    <w:rPr>
      <w:rFonts w:eastAsiaTheme="minorHAnsi"/>
      <w:lang w:eastAsia="en-US"/>
    </w:rPr>
  </w:style>
  <w:style w:type="character" w:styleId="FootnoteReference">
    <w:name w:val="footnote reference"/>
    <w:basedOn w:val="DefaultParagraphFont"/>
    <w:uiPriority w:val="99"/>
    <w:semiHidden/>
    <w:unhideWhenUsed/>
    <w:rsid w:val="001136C7"/>
    <w:rPr>
      <w:vertAlign w:val="superscript"/>
    </w:rPr>
  </w:style>
  <w:style w:type="character" w:styleId="Hyperlink">
    <w:name w:val="Hyperlink"/>
    <w:basedOn w:val="DefaultParagraphFont"/>
    <w:uiPriority w:val="99"/>
    <w:unhideWhenUsed/>
    <w:rsid w:val="001136C7"/>
    <w:rPr>
      <w:color w:val="0563C1" w:themeColor="hyperlink"/>
      <w:u w:val="single"/>
    </w:rPr>
  </w:style>
  <w:style w:type="paragraph" w:styleId="Header">
    <w:name w:val="header"/>
    <w:basedOn w:val="Normal"/>
    <w:link w:val="HeaderChar"/>
    <w:uiPriority w:val="99"/>
    <w:unhideWhenUsed/>
    <w:rsid w:val="001136C7"/>
    <w:pPr>
      <w:tabs>
        <w:tab w:val="center" w:pos="4680"/>
        <w:tab w:val="right" w:pos="9360"/>
      </w:tabs>
    </w:pPr>
  </w:style>
  <w:style w:type="character" w:customStyle="1" w:styleId="HeaderChar">
    <w:name w:val="Header Char"/>
    <w:basedOn w:val="DefaultParagraphFont"/>
    <w:link w:val="Header"/>
    <w:uiPriority w:val="99"/>
    <w:rsid w:val="001136C7"/>
    <w:rPr>
      <w:rFonts w:eastAsiaTheme="minorHAnsi"/>
      <w:lang w:eastAsia="en-US"/>
    </w:rPr>
  </w:style>
  <w:style w:type="paragraph" w:styleId="Footer">
    <w:name w:val="footer"/>
    <w:basedOn w:val="Normal"/>
    <w:link w:val="FooterChar"/>
    <w:uiPriority w:val="99"/>
    <w:unhideWhenUsed/>
    <w:rsid w:val="001136C7"/>
    <w:pPr>
      <w:tabs>
        <w:tab w:val="center" w:pos="4680"/>
        <w:tab w:val="right" w:pos="9360"/>
      </w:tabs>
    </w:pPr>
  </w:style>
  <w:style w:type="character" w:customStyle="1" w:styleId="FooterChar">
    <w:name w:val="Footer Char"/>
    <w:basedOn w:val="DefaultParagraphFont"/>
    <w:link w:val="Footer"/>
    <w:uiPriority w:val="99"/>
    <w:rsid w:val="001136C7"/>
    <w:rPr>
      <w:rFonts w:eastAsiaTheme="minorHAnsi"/>
      <w:lang w:eastAsia="en-US"/>
    </w:rPr>
  </w:style>
  <w:style w:type="character" w:styleId="UnresolvedMention">
    <w:name w:val="Unresolved Mention"/>
    <w:basedOn w:val="DefaultParagraphFont"/>
    <w:uiPriority w:val="99"/>
    <w:semiHidden/>
    <w:unhideWhenUsed/>
    <w:rsid w:val="004631E6"/>
    <w:rPr>
      <w:color w:val="605E5C"/>
      <w:shd w:val="clear" w:color="auto" w:fill="E1DFDD"/>
    </w:rPr>
  </w:style>
  <w:style w:type="character" w:styleId="FollowedHyperlink">
    <w:name w:val="FollowedHyperlink"/>
    <w:basedOn w:val="DefaultParagraphFont"/>
    <w:uiPriority w:val="99"/>
    <w:semiHidden/>
    <w:unhideWhenUsed/>
    <w:rsid w:val="004631E6"/>
    <w:rPr>
      <w:color w:val="954F72" w:themeColor="followedHyperlink"/>
      <w:u w:val="single"/>
    </w:rPr>
  </w:style>
  <w:style w:type="character" w:styleId="PageNumber">
    <w:name w:val="page number"/>
    <w:basedOn w:val="DefaultParagraphFont"/>
    <w:uiPriority w:val="99"/>
    <w:semiHidden/>
    <w:unhideWhenUsed/>
    <w:rsid w:val="00FD0A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11940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licdomainreview.org/collections/codex-mendoza-1542/" TargetMode="External"/><Relationship Id="rId13" Type="http://schemas.openxmlformats.org/officeDocument/2006/relationships/hyperlink" Target="https://www.covid19treatmentguidelines.nih.gov/management/clinical-management/hospitalized-adults--therapeutic-management/" TargetMode="External"/><Relationship Id="rId18"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canvas.pitt.edu/courses/111980/files" TargetMode="External"/><Relationship Id="rId12" Type="http://schemas.openxmlformats.org/officeDocument/2006/relationships/hyperlink" Target="https://www.fda.gov/consumers/consumer-updates/know-your-treatment-options-covid-19"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nappi@pitt.edu"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https://babel.hathitrust.org/cgi/pt?id=mdp.39015064834677&amp;view=1up&amp;seq=7" TargetMode="External"/><Relationship Id="rId19"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yperlink" Target="https://www.wdl.org/en/item/10612/view/1/1/"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TotalTime>
  <Pages>6</Pages>
  <Words>2808</Words>
  <Characters>16010</Characters>
  <Application>Microsoft Office Word</Application>
  <DocSecurity>0</DocSecurity>
  <Lines>133</Lines>
  <Paragraphs>37</Paragraphs>
  <ScaleCrop>false</ScaleCrop>
  <Company/>
  <LinksUpToDate>false</LinksUpToDate>
  <CharactersWithSpaces>18781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Carla Nappi</dc:creator>
  <cp:keywords/>
  <dc:description/>
  <cp:lastModifiedBy>Carla Nappi</cp:lastModifiedBy>
  <cp:revision>32</cp:revision>
  <dcterms:created xsi:type="dcterms:W3CDTF">2021-08-30T01:13:00Z</dcterms:created>
  <dcterms:modified xsi:type="dcterms:W3CDTF">2021-08-30T19:58:00Z</dcterms:modified>
</cp:coreProperties>
</file>